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6" w:lineRule="exact"/>
        <w:ind w:left="0" w:leftChars="0" w:firstLine="0" w:firstLineChars="0"/>
        <w:textAlignment w:val="auto"/>
        <w:outlineLvl w:val="0"/>
        <w:rPr>
          <w:rStyle w:val="10"/>
          <w:rFonts w:hint="eastAsia"/>
          <w:color w:val="auto"/>
          <w:lang w:val="en-US" w:eastAsia="zh-CN"/>
        </w:rPr>
      </w:pPr>
      <w:bookmarkStart w:id="0" w:name="_Toc531182813_WPSOffice_Level1"/>
      <w:bookmarkStart w:id="1" w:name="_Toc926045043_WPSOffice_Level1"/>
      <w:r>
        <w:rPr>
          <w:rStyle w:val="10"/>
          <w:rFonts w:hint="eastAsia"/>
          <w:color w:val="auto"/>
          <w:lang w:val="en-US" w:eastAsia="zh-CN"/>
        </w:rPr>
        <w:t xml:space="preserve">附录1                  </w:t>
      </w:r>
    </w:p>
    <w:p>
      <w:pPr>
        <w:keepNext w:val="0"/>
        <w:keepLines w:val="0"/>
        <w:pageBreakBefore w:val="0"/>
        <w:widowControl w:val="0"/>
        <w:kinsoku/>
        <w:wordWrap/>
        <w:overflowPunct/>
        <w:topLinePunct w:val="0"/>
        <w:autoSpaceDE/>
        <w:autoSpaceDN/>
        <w:bidi w:val="0"/>
        <w:adjustRightInd/>
        <w:snapToGrid/>
        <w:spacing w:before="0" w:after="0" w:line="576" w:lineRule="exact"/>
        <w:ind w:left="0" w:leftChars="0" w:right="0" w:firstLine="0" w:firstLineChars="0"/>
        <w:jc w:val="center"/>
        <w:textAlignment w:val="auto"/>
        <w:outlineLvl w:val="0"/>
        <w:rPr>
          <w:rFonts w:hint="eastAsia" w:ascii="方正小标宋简体" w:hAnsi="方正小标宋简体" w:eastAsia="方正小标宋简体" w:cs="方正小标宋简体"/>
          <w:b w:val="0"/>
          <w:bCs w:val="0"/>
          <w:kern w:val="0"/>
          <w:sz w:val="32"/>
          <w:szCs w:val="32"/>
          <w:lang w:val="en-US" w:eastAsia="zh-CN" w:bidi="ar-SA"/>
        </w:rPr>
      </w:pPr>
      <w:r>
        <w:rPr>
          <w:rFonts w:hint="eastAsia" w:ascii="方正小标宋简体" w:hAnsi="方正小标宋简体" w:eastAsia="方正小标宋简体" w:cs="方正小标宋简体"/>
          <w:b w:val="0"/>
          <w:bCs w:val="0"/>
          <w:kern w:val="0"/>
          <w:sz w:val="32"/>
          <w:szCs w:val="32"/>
          <w:lang w:val="en-US" w:eastAsia="zh-CN" w:bidi="ar-SA"/>
        </w:rPr>
        <w:t>科技成果多维价值评价指标体系</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0" w:firstLineChars="0"/>
        <w:textAlignment w:val="auto"/>
        <w:outlineLvl w:val="0"/>
        <w:rPr>
          <w:rStyle w:val="10"/>
          <w:rFonts w:hint="eastAsia"/>
          <w:color w:val="auto"/>
          <w:lang w:val="en-US" w:eastAsia="zh-CN"/>
        </w:rPr>
      </w:pPr>
      <w:r>
        <w:rPr>
          <w:rStyle w:val="10"/>
          <w:rFonts w:hint="eastAsia"/>
          <w:color w:val="auto"/>
          <w:lang w:val="en-US" w:eastAsia="zh-CN"/>
        </w:rPr>
        <w:t>表1-1科学价值评价指标体系</w:t>
      </w:r>
    </w:p>
    <w:tbl>
      <w:tblPr>
        <w:tblStyle w:val="8"/>
        <w:tblpPr w:leftFromText="180" w:rightFromText="180" w:vertAnchor="text" w:horzAnchor="page" w:tblpXSpec="center" w:tblpY="312"/>
        <w:tblOverlap w:val="never"/>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3"/>
        <w:gridCol w:w="992"/>
        <w:gridCol w:w="1715"/>
        <w:gridCol w:w="8486"/>
        <w:gridCol w:w="2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 w:type="pct"/>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0" w:firstLineChars="0"/>
              <w:jc w:val="center"/>
              <w:textAlignment w:val="auto"/>
              <w:rPr>
                <w:rFonts w:hint="eastAsia" w:ascii="黑体" w:hAnsi="黑体" w:eastAsia="黑体" w:cs="黑体"/>
                <w:b/>
                <w:bCs/>
                <w:i w:val="0"/>
                <w:caps w:val="0"/>
                <w:color w:val="auto"/>
                <w:spacing w:val="0"/>
                <w:sz w:val="21"/>
                <w:szCs w:val="21"/>
                <w:highlight w:val="none"/>
                <w:shd w:val="clear" w:color="auto" w:fill="FFFFFF"/>
                <w:vertAlign w:val="baseline"/>
                <w:lang w:val="en-US" w:eastAsia="zh-CN"/>
              </w:rPr>
            </w:pPr>
            <w:r>
              <w:rPr>
                <w:rFonts w:hint="eastAsia" w:ascii="黑体" w:hAnsi="黑体" w:eastAsia="黑体" w:cs="黑体"/>
                <w:b/>
                <w:bCs/>
                <w:i w:val="0"/>
                <w:caps w:val="0"/>
                <w:color w:val="auto"/>
                <w:spacing w:val="0"/>
                <w:sz w:val="21"/>
                <w:szCs w:val="21"/>
                <w:highlight w:val="none"/>
                <w:shd w:val="clear" w:color="auto" w:fill="FFFFFF"/>
                <w:vertAlign w:val="baseline"/>
                <w:lang w:val="en-US" w:eastAsia="zh-CN"/>
              </w:rPr>
              <w:t>一级指标</w:t>
            </w:r>
          </w:p>
        </w:tc>
        <w:tc>
          <w:tcPr>
            <w:tcW w:w="350" w:type="pct"/>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0" w:firstLineChars="0"/>
              <w:jc w:val="center"/>
              <w:textAlignment w:val="auto"/>
              <w:rPr>
                <w:rFonts w:hint="eastAsia" w:ascii="黑体" w:hAnsi="黑体" w:eastAsia="黑体" w:cs="黑体"/>
                <w:b/>
                <w:bCs/>
                <w:i w:val="0"/>
                <w:caps w:val="0"/>
                <w:color w:val="auto"/>
                <w:spacing w:val="0"/>
                <w:sz w:val="21"/>
                <w:szCs w:val="21"/>
                <w:highlight w:val="none"/>
                <w:shd w:val="clear" w:color="auto" w:fill="FFFFFF"/>
                <w:vertAlign w:val="baseline"/>
                <w:lang w:val="en-US" w:eastAsia="zh-CN"/>
              </w:rPr>
            </w:pPr>
            <w:r>
              <w:rPr>
                <w:rFonts w:hint="eastAsia" w:ascii="黑体" w:hAnsi="黑体" w:eastAsia="黑体" w:cs="黑体"/>
                <w:b/>
                <w:bCs/>
                <w:i w:val="0"/>
                <w:caps w:val="0"/>
                <w:color w:val="auto"/>
                <w:spacing w:val="0"/>
                <w:sz w:val="21"/>
                <w:szCs w:val="21"/>
                <w:highlight w:val="none"/>
                <w:shd w:val="clear" w:color="auto" w:fill="FFFFFF"/>
                <w:vertAlign w:val="baseline"/>
                <w:lang w:val="en-US" w:eastAsia="zh-CN"/>
              </w:rPr>
              <w:t>二级指标</w:t>
            </w:r>
          </w:p>
        </w:tc>
        <w:tc>
          <w:tcPr>
            <w:tcW w:w="605" w:type="pct"/>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0" w:firstLineChars="0"/>
              <w:jc w:val="center"/>
              <w:textAlignment w:val="auto"/>
              <w:rPr>
                <w:rFonts w:hint="eastAsia" w:ascii="黑体" w:hAnsi="黑体" w:eastAsia="黑体" w:cs="黑体"/>
                <w:b/>
                <w:bCs/>
                <w:i w:val="0"/>
                <w:caps w:val="0"/>
                <w:color w:val="auto"/>
                <w:spacing w:val="0"/>
                <w:sz w:val="21"/>
                <w:szCs w:val="21"/>
                <w:highlight w:val="none"/>
                <w:shd w:val="clear" w:color="auto" w:fill="FFFFFF"/>
                <w:vertAlign w:val="baseline"/>
                <w:lang w:val="en-US" w:eastAsia="zh-CN"/>
              </w:rPr>
            </w:pPr>
            <w:r>
              <w:rPr>
                <w:rFonts w:hint="eastAsia" w:ascii="黑体" w:hAnsi="黑体" w:eastAsia="黑体" w:cs="黑体"/>
                <w:b/>
                <w:bCs/>
                <w:i w:val="0"/>
                <w:caps w:val="0"/>
                <w:color w:val="auto"/>
                <w:spacing w:val="0"/>
                <w:sz w:val="21"/>
                <w:szCs w:val="21"/>
                <w:highlight w:val="none"/>
                <w:shd w:val="clear" w:color="auto" w:fill="FFFFFF"/>
                <w:vertAlign w:val="baseline"/>
                <w:lang w:val="en-US" w:eastAsia="zh-CN"/>
              </w:rPr>
              <w:t>指标说明</w:t>
            </w:r>
          </w:p>
        </w:tc>
        <w:tc>
          <w:tcPr>
            <w:tcW w:w="2994" w:type="pct"/>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0" w:firstLineChars="0"/>
              <w:jc w:val="center"/>
              <w:textAlignment w:val="auto"/>
              <w:rPr>
                <w:rFonts w:hint="eastAsia" w:ascii="黑体" w:hAnsi="黑体" w:eastAsia="黑体" w:cs="黑体"/>
                <w:b/>
                <w:bCs/>
                <w:i w:val="0"/>
                <w:caps w:val="0"/>
                <w:color w:val="auto"/>
                <w:spacing w:val="0"/>
                <w:sz w:val="21"/>
                <w:szCs w:val="21"/>
                <w:highlight w:val="none"/>
                <w:shd w:val="clear" w:color="auto" w:fill="FFFFFF"/>
                <w:vertAlign w:val="baseline"/>
                <w:lang w:val="en-US" w:eastAsia="zh-CN"/>
              </w:rPr>
            </w:pPr>
            <w:r>
              <w:rPr>
                <w:rFonts w:hint="eastAsia" w:ascii="黑体" w:hAnsi="黑体" w:eastAsia="黑体" w:cs="黑体"/>
                <w:b/>
                <w:bCs/>
                <w:i w:val="0"/>
                <w:caps w:val="0"/>
                <w:color w:val="auto"/>
                <w:spacing w:val="0"/>
                <w:sz w:val="21"/>
                <w:szCs w:val="21"/>
                <w:highlight w:val="none"/>
                <w:shd w:val="clear" w:color="auto" w:fill="FFFFFF"/>
                <w:vertAlign w:val="baseline"/>
                <w:lang w:val="en-US" w:eastAsia="zh-CN"/>
              </w:rPr>
              <w:t>评价要点</w:t>
            </w:r>
          </w:p>
        </w:tc>
        <w:tc>
          <w:tcPr>
            <w:tcW w:w="807" w:type="pct"/>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0" w:firstLineChars="0"/>
              <w:jc w:val="center"/>
              <w:textAlignment w:val="auto"/>
              <w:rPr>
                <w:rFonts w:hint="default" w:ascii="黑体" w:hAnsi="黑体" w:eastAsia="黑体" w:cs="黑体"/>
                <w:b/>
                <w:bCs/>
                <w:i w:val="0"/>
                <w:caps w:val="0"/>
                <w:color w:val="auto"/>
                <w:spacing w:val="0"/>
                <w:sz w:val="21"/>
                <w:szCs w:val="21"/>
                <w:highlight w:val="none"/>
                <w:shd w:val="clear" w:color="auto" w:fill="FFFFFF"/>
                <w:vertAlign w:val="baseline"/>
                <w:lang w:val="en-US" w:eastAsia="zh-CN"/>
              </w:rPr>
            </w:pPr>
            <w:r>
              <w:rPr>
                <w:rFonts w:hint="eastAsia" w:ascii="黑体" w:hAnsi="黑体" w:eastAsia="黑体" w:cs="黑体"/>
                <w:b/>
                <w:bCs/>
                <w:i w:val="0"/>
                <w:caps w:val="0"/>
                <w:color w:val="auto"/>
                <w:spacing w:val="0"/>
                <w:sz w:val="21"/>
                <w:szCs w:val="21"/>
                <w:highlight w:val="none"/>
                <w:shd w:val="clear" w:color="auto" w:fill="FFFFFF"/>
                <w:vertAlign w:val="baseline"/>
                <w:lang w:val="en-US" w:eastAsia="zh-CN"/>
              </w:rPr>
              <w:t>主要证明材料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jc w:val="center"/>
        </w:trPr>
        <w:tc>
          <w:tcPr>
            <w:tcW w:w="241" w:type="pct"/>
            <w:vMerge w:val="restart"/>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0" w:firstLineChars="0"/>
              <w:jc w:val="center"/>
              <w:textAlignment w:val="auto"/>
              <w:rPr>
                <w:rFonts w:hint="eastAsia" w:ascii="仿宋" w:hAnsi="仿宋" w:eastAsia="仿宋" w:cs="仿宋"/>
                <w:i w:val="0"/>
                <w:caps w:val="0"/>
                <w:color w:val="auto"/>
                <w:spacing w:val="0"/>
                <w:sz w:val="18"/>
                <w:szCs w:val="18"/>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A.科学价值</w:t>
            </w:r>
          </w:p>
        </w:tc>
        <w:tc>
          <w:tcPr>
            <w:tcW w:w="350" w:type="pct"/>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0" w:firstLineChars="0"/>
              <w:jc w:val="center"/>
              <w:textAlignment w:val="auto"/>
              <w:rPr>
                <w:rFonts w:hint="default"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A1.科学原创度</w:t>
            </w:r>
          </w:p>
        </w:tc>
        <w:tc>
          <w:tcPr>
            <w:tcW w:w="605" w:type="pct"/>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default"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color w:val="auto"/>
                <w:sz w:val="21"/>
                <w:szCs w:val="21"/>
                <w:highlight w:val="none"/>
                <w:shd w:val="clear" w:color="auto" w:fill="FFFFFF"/>
                <w:lang w:val="en-US" w:eastAsia="zh-CN"/>
              </w:rPr>
              <w:t>衡量</w:t>
            </w:r>
            <w:r>
              <w:rPr>
                <w:rFonts w:hint="eastAsia" w:ascii="仿宋" w:hAnsi="仿宋" w:eastAsia="仿宋" w:cs="仿宋"/>
                <w:color w:val="auto"/>
                <w:sz w:val="21"/>
                <w:szCs w:val="21"/>
                <w:highlight w:val="none"/>
                <w:shd w:val="clear" w:color="auto" w:fill="FFFFFF"/>
              </w:rPr>
              <w:t>新发现、</w:t>
            </w:r>
            <w:r>
              <w:rPr>
                <w:rFonts w:hint="eastAsia" w:ascii="仿宋" w:hAnsi="仿宋" w:eastAsia="仿宋" w:cs="仿宋"/>
                <w:color w:val="auto"/>
                <w:sz w:val="21"/>
                <w:szCs w:val="21"/>
                <w:highlight w:val="none"/>
                <w:shd w:val="clear" w:color="auto" w:fill="FFFFFF"/>
                <w:lang w:val="en-US" w:eastAsia="zh-CN"/>
              </w:rPr>
              <w:t>新认识、</w:t>
            </w:r>
            <w:r>
              <w:rPr>
                <w:rFonts w:hint="eastAsia" w:ascii="仿宋" w:hAnsi="仿宋" w:eastAsia="仿宋" w:cs="仿宋"/>
                <w:color w:val="auto"/>
                <w:sz w:val="21"/>
                <w:szCs w:val="21"/>
                <w:highlight w:val="none"/>
                <w:shd w:val="clear" w:color="auto" w:fill="FFFFFF"/>
              </w:rPr>
              <w:t>新思想、新理论、新原理、新方法、新方案的首创性。</w:t>
            </w:r>
          </w:p>
        </w:tc>
        <w:tc>
          <w:tcPr>
            <w:tcW w:w="2994" w:type="pct"/>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color w:val="auto"/>
                <w:sz w:val="21"/>
                <w:szCs w:val="21"/>
                <w:highlight w:val="none"/>
                <w:shd w:val="clear" w:color="auto" w:fill="FFFFFF"/>
                <w:lang w:eastAsia="zh-CN"/>
              </w:rPr>
            </w:pPr>
            <w:r>
              <w:rPr>
                <w:rFonts w:hint="eastAsia" w:ascii="仿宋" w:hAnsi="仿宋" w:eastAsia="仿宋" w:cs="仿宋"/>
                <w:color w:val="auto"/>
                <w:sz w:val="21"/>
                <w:szCs w:val="21"/>
                <w:highlight w:val="none"/>
                <w:shd w:val="clear" w:color="auto" w:fill="FFFFFF"/>
                <w:lang w:val="en-US" w:eastAsia="zh-CN"/>
              </w:rPr>
              <w:t>4</w:t>
            </w:r>
            <w:r>
              <w:rPr>
                <w:rFonts w:hint="eastAsia" w:ascii="仿宋" w:hAnsi="仿宋" w:eastAsia="仿宋" w:cs="仿宋"/>
                <w:color w:val="auto"/>
                <w:sz w:val="21"/>
                <w:szCs w:val="21"/>
                <w:highlight w:val="none"/>
                <w:shd w:val="clear" w:color="auto" w:fill="FFFFFF"/>
              </w:rPr>
              <w:t>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76～100分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rPr>
              <w:t>：国际范围内首次提出的原创性思想、理论或原理、首次发现的新现象或新规律、首次阐明的新问题或新方法、首次开发的新材料、新技术或新方案，价值与意义重大</w:t>
            </w:r>
            <w:r>
              <w:rPr>
                <w:rFonts w:hint="eastAsia" w:ascii="仿宋" w:hAnsi="仿宋" w:eastAsia="仿宋" w:cs="仿宋"/>
                <w:color w:val="auto"/>
                <w:sz w:val="21"/>
                <w:szCs w:val="21"/>
                <w:highlight w:val="none"/>
                <w:shd w:val="clear" w:color="auto" w:fill="FFFFFF"/>
                <w:lang w:eastAsia="zh-CN"/>
              </w:rPr>
              <w:t>。</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color w:val="auto"/>
                <w:sz w:val="21"/>
                <w:szCs w:val="21"/>
                <w:highlight w:val="none"/>
                <w:shd w:val="clear" w:color="auto" w:fill="FFFFFF"/>
                <w:lang w:eastAsia="zh-CN"/>
              </w:rPr>
            </w:pPr>
            <w:r>
              <w:rPr>
                <w:rFonts w:hint="eastAsia" w:ascii="仿宋" w:hAnsi="仿宋" w:eastAsia="仿宋" w:cs="仿宋"/>
                <w:color w:val="auto"/>
                <w:sz w:val="21"/>
                <w:szCs w:val="21"/>
                <w:highlight w:val="none"/>
                <w:shd w:val="clear" w:color="auto" w:fill="FFFFFF"/>
                <w:lang w:val="en-US" w:eastAsia="zh-CN"/>
              </w:rPr>
              <w:t>3</w:t>
            </w:r>
            <w:r>
              <w:rPr>
                <w:rFonts w:hint="eastAsia" w:ascii="仿宋" w:hAnsi="仿宋" w:eastAsia="仿宋" w:cs="仿宋"/>
                <w:color w:val="auto"/>
                <w:sz w:val="21"/>
                <w:szCs w:val="21"/>
                <w:highlight w:val="none"/>
                <w:shd w:val="clear" w:color="auto" w:fill="FFFFFF"/>
              </w:rPr>
              <w:t>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51～75分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rPr>
              <w:t>：国内首次提出的原创性思想、理论或原理、首次发现的新现象或新规律、首次阐明的新问题或新方法、首次开发的新材料、新技术或新方案，价值与意义较大</w:t>
            </w:r>
            <w:r>
              <w:rPr>
                <w:rFonts w:hint="eastAsia" w:ascii="仿宋" w:hAnsi="仿宋" w:eastAsia="仿宋" w:cs="仿宋"/>
                <w:color w:val="auto"/>
                <w:sz w:val="21"/>
                <w:szCs w:val="21"/>
                <w:highlight w:val="none"/>
                <w:shd w:val="clear" w:color="auto" w:fill="FFFFFF"/>
                <w:lang w:eastAsia="zh-CN"/>
              </w:rPr>
              <w:t>。</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color w:val="auto"/>
                <w:sz w:val="21"/>
                <w:szCs w:val="21"/>
                <w:highlight w:val="none"/>
                <w:shd w:val="clear" w:color="auto" w:fill="FFFFFF"/>
                <w:lang w:eastAsia="zh-CN"/>
              </w:rPr>
            </w:pPr>
            <w:r>
              <w:rPr>
                <w:rFonts w:hint="eastAsia" w:ascii="仿宋" w:hAnsi="仿宋" w:eastAsia="仿宋" w:cs="仿宋"/>
                <w:color w:val="auto"/>
                <w:sz w:val="21"/>
                <w:szCs w:val="21"/>
                <w:highlight w:val="none"/>
                <w:shd w:val="clear" w:color="auto" w:fill="FFFFFF"/>
                <w:lang w:val="en-US" w:eastAsia="zh-CN"/>
              </w:rPr>
              <w:t>2</w:t>
            </w:r>
            <w:r>
              <w:rPr>
                <w:rFonts w:hint="eastAsia" w:ascii="仿宋" w:hAnsi="仿宋" w:eastAsia="仿宋" w:cs="仿宋"/>
                <w:color w:val="auto"/>
                <w:sz w:val="21"/>
                <w:szCs w:val="21"/>
                <w:highlight w:val="none"/>
                <w:shd w:val="clear" w:color="auto" w:fill="FFFFFF"/>
              </w:rPr>
              <w:t>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26～50分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rPr>
              <w:t>：特定领域内首次提出的原创性思想、理论或原理、首次发现的新现象或新规律、首次阐明的新问题或新方法、首次开发的新材料、新技术或新方案，具有一定的价值与意义</w:t>
            </w:r>
            <w:r>
              <w:rPr>
                <w:rFonts w:hint="eastAsia" w:ascii="仿宋" w:hAnsi="仿宋" w:eastAsia="仿宋" w:cs="仿宋"/>
                <w:color w:val="auto"/>
                <w:sz w:val="21"/>
                <w:szCs w:val="21"/>
                <w:highlight w:val="none"/>
                <w:shd w:val="clear" w:color="auto" w:fill="FFFFFF"/>
                <w:lang w:eastAsia="zh-CN"/>
              </w:rPr>
              <w:t>。</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color w:val="auto"/>
                <w:sz w:val="21"/>
                <w:szCs w:val="21"/>
                <w:highlight w:val="none"/>
                <w:shd w:val="clear" w:color="auto" w:fill="FFFFFF"/>
                <w:lang w:val="en-US" w:eastAsia="zh-CN"/>
              </w:rPr>
            </w:pPr>
            <w:r>
              <w:rPr>
                <w:rFonts w:hint="eastAsia" w:ascii="仿宋" w:hAnsi="仿宋" w:eastAsia="仿宋" w:cs="仿宋"/>
                <w:color w:val="auto"/>
                <w:sz w:val="21"/>
                <w:szCs w:val="21"/>
                <w:highlight w:val="none"/>
                <w:shd w:val="clear" w:color="auto" w:fill="FFFFFF"/>
              </w:rPr>
              <w:t>1级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0～25分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rPr>
              <w:t>：不属于首</w:t>
            </w:r>
            <w:r>
              <w:rPr>
                <w:rFonts w:hint="eastAsia" w:ascii="仿宋" w:hAnsi="仿宋" w:eastAsia="仿宋" w:cs="仿宋"/>
                <w:color w:val="auto"/>
                <w:sz w:val="21"/>
                <w:szCs w:val="21"/>
                <w:highlight w:val="none"/>
                <w:shd w:val="clear" w:color="auto" w:fill="FFFFFF"/>
                <w:lang w:val="en-US" w:eastAsia="zh-CN"/>
              </w:rPr>
              <w:t>次</w:t>
            </w:r>
            <w:r>
              <w:rPr>
                <w:rFonts w:hint="eastAsia" w:ascii="仿宋" w:hAnsi="仿宋" w:eastAsia="仿宋" w:cs="仿宋"/>
                <w:color w:val="auto"/>
                <w:sz w:val="21"/>
                <w:szCs w:val="21"/>
                <w:highlight w:val="none"/>
                <w:shd w:val="clear" w:color="auto" w:fill="FFFFFF"/>
              </w:rPr>
              <w:t>发现或首</w:t>
            </w:r>
            <w:r>
              <w:rPr>
                <w:rFonts w:hint="eastAsia" w:ascii="仿宋" w:hAnsi="仿宋" w:eastAsia="仿宋" w:cs="仿宋"/>
                <w:color w:val="auto"/>
                <w:sz w:val="21"/>
                <w:szCs w:val="21"/>
                <w:highlight w:val="none"/>
                <w:shd w:val="clear" w:color="auto" w:fill="FFFFFF"/>
                <w:lang w:val="en-US" w:eastAsia="zh-CN"/>
              </w:rPr>
              <w:t>次</w:t>
            </w:r>
            <w:r>
              <w:rPr>
                <w:rFonts w:hint="eastAsia" w:ascii="仿宋" w:hAnsi="仿宋" w:eastAsia="仿宋" w:cs="仿宋"/>
                <w:color w:val="auto"/>
                <w:sz w:val="21"/>
                <w:szCs w:val="21"/>
                <w:highlight w:val="none"/>
                <w:shd w:val="clear" w:color="auto" w:fill="FFFFFF"/>
              </w:rPr>
              <w:t>阐明</w:t>
            </w:r>
            <w:r>
              <w:rPr>
                <w:rFonts w:hint="eastAsia" w:ascii="仿宋" w:hAnsi="仿宋" w:eastAsia="仿宋" w:cs="仿宋"/>
                <w:color w:val="auto"/>
                <w:sz w:val="21"/>
                <w:szCs w:val="21"/>
                <w:highlight w:val="none"/>
                <w:shd w:val="clear" w:color="auto" w:fill="FFFFFF"/>
                <w:lang w:eastAsia="zh-CN"/>
              </w:rPr>
              <w:t>。</w:t>
            </w:r>
          </w:p>
        </w:tc>
        <w:tc>
          <w:tcPr>
            <w:tcW w:w="807" w:type="pct"/>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default" w:ascii="仿宋" w:hAnsi="仿宋" w:eastAsia="仿宋" w:cs="仿宋"/>
                <w:color w:val="auto"/>
                <w:sz w:val="21"/>
                <w:szCs w:val="21"/>
                <w:highlight w:val="none"/>
                <w:shd w:val="clear" w:color="auto" w:fill="FFFFFF"/>
                <w:lang w:val="en-US" w:eastAsia="zh-CN"/>
              </w:rPr>
            </w:pPr>
            <w:r>
              <w:rPr>
                <w:rFonts w:hint="eastAsia" w:ascii="仿宋" w:hAnsi="仿宋" w:eastAsia="仿宋" w:cs="仿宋"/>
                <w:color w:val="auto"/>
                <w:sz w:val="21"/>
                <w:szCs w:val="21"/>
                <w:highlight w:val="none"/>
                <w:shd w:val="clear" w:color="auto" w:fill="FFFFFF"/>
                <w:lang w:val="en-US" w:eastAsia="zh-CN"/>
              </w:rPr>
              <w:t>论文、科技查新报告等。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jc w:val="center"/>
        </w:trPr>
        <w:tc>
          <w:tcPr>
            <w:tcW w:w="241" w:type="pct"/>
            <w:vMerge w:val="continue"/>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0" w:firstLineChars="0"/>
              <w:jc w:val="center"/>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p>
        </w:tc>
        <w:tc>
          <w:tcPr>
            <w:tcW w:w="350" w:type="pct"/>
            <w:shd w:val="clear" w:color="auto" w:fill="auto"/>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color w:val="auto"/>
                <w:kern w:val="0"/>
                <w:sz w:val="21"/>
                <w:szCs w:val="21"/>
                <w:highlight w:val="none"/>
                <w:lang w:val="en-US" w:eastAsia="zh-CN" w:bidi="ar"/>
              </w:rPr>
              <w:t>A2.研究拓展度</w:t>
            </w:r>
          </w:p>
        </w:tc>
        <w:tc>
          <w:tcPr>
            <w:tcW w:w="605" w:type="pct"/>
            <w:shd w:val="clear" w:color="auto" w:fill="auto"/>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eastAsia" w:ascii="仿宋" w:hAnsi="仿宋" w:eastAsia="仿宋" w:cs="仿宋"/>
                <w:strike w:val="0"/>
                <w:dstrike w:val="0"/>
                <w:color w:val="auto"/>
                <w:kern w:val="0"/>
                <w:sz w:val="21"/>
                <w:szCs w:val="21"/>
                <w:highlight w:val="none"/>
                <w:lang w:val="en-US" w:eastAsia="zh-CN" w:bidi="ar"/>
              </w:rPr>
            </w:pPr>
            <w:r>
              <w:rPr>
                <w:rFonts w:hint="eastAsia" w:ascii="仿宋" w:hAnsi="仿宋" w:eastAsia="仿宋" w:cs="仿宋"/>
                <w:color w:val="auto"/>
                <w:sz w:val="21"/>
                <w:szCs w:val="21"/>
                <w:highlight w:val="none"/>
                <w:shd w:val="clear" w:color="auto" w:fill="FFFFFF"/>
                <w:lang w:val="en-US" w:eastAsia="zh-CN"/>
              </w:rPr>
              <w:t>衡量成果的系统性、开拓性和引领性</w:t>
            </w:r>
            <w:r>
              <w:rPr>
                <w:rFonts w:hint="eastAsia" w:ascii="仿宋" w:hAnsi="仿宋" w:eastAsia="仿宋" w:cs="仿宋"/>
                <w:color w:val="auto"/>
                <w:sz w:val="21"/>
                <w:szCs w:val="21"/>
                <w:highlight w:val="none"/>
                <w:shd w:val="clear" w:color="auto" w:fill="FFFFFF"/>
              </w:rPr>
              <w:t>。</w:t>
            </w:r>
          </w:p>
        </w:tc>
        <w:tc>
          <w:tcPr>
            <w:tcW w:w="2994" w:type="pct"/>
            <w:shd w:val="clear" w:color="auto" w:fill="auto"/>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strike w:val="0"/>
                <w:dstrike w:val="0"/>
                <w:color w:val="auto"/>
                <w:kern w:val="0"/>
                <w:sz w:val="21"/>
                <w:szCs w:val="21"/>
                <w:highlight w:val="none"/>
                <w:lang w:val="en-US" w:eastAsia="zh-CN" w:bidi="ar"/>
              </w:rPr>
            </w:pPr>
            <w:r>
              <w:rPr>
                <w:rFonts w:hint="eastAsia" w:ascii="仿宋" w:hAnsi="仿宋" w:eastAsia="仿宋" w:cs="仿宋"/>
                <w:strike w:val="0"/>
                <w:dstrike w:val="0"/>
                <w:color w:val="auto"/>
                <w:kern w:val="0"/>
                <w:sz w:val="21"/>
                <w:szCs w:val="21"/>
                <w:highlight w:val="none"/>
                <w:lang w:val="en-US" w:eastAsia="zh-CN" w:bidi="ar"/>
              </w:rPr>
              <w:t>4级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76～100分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strike w:val="0"/>
                <w:dstrike w:val="0"/>
                <w:color w:val="auto"/>
                <w:kern w:val="0"/>
                <w:sz w:val="21"/>
                <w:szCs w:val="21"/>
                <w:highlight w:val="none"/>
                <w:lang w:val="en-US" w:eastAsia="zh-CN" w:bidi="ar"/>
              </w:rPr>
              <w:t>：研究成果补充了现有知识体系，研究具有系统性、开拓性和引领性、与已有相关研究相比具有超越性、研究成果与相关科技系统能相互解释或补充，研究深入，应用推广前景明朗。</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strike w:val="0"/>
                <w:dstrike w:val="0"/>
                <w:color w:val="auto"/>
                <w:kern w:val="0"/>
                <w:sz w:val="21"/>
                <w:szCs w:val="21"/>
                <w:highlight w:val="none"/>
                <w:lang w:val="en-US" w:eastAsia="zh-CN" w:bidi="ar"/>
              </w:rPr>
            </w:pPr>
            <w:r>
              <w:rPr>
                <w:rFonts w:hint="eastAsia" w:ascii="仿宋" w:hAnsi="仿宋" w:eastAsia="仿宋" w:cs="仿宋"/>
                <w:strike w:val="0"/>
                <w:dstrike w:val="0"/>
                <w:color w:val="auto"/>
                <w:kern w:val="0"/>
                <w:sz w:val="21"/>
                <w:szCs w:val="21"/>
                <w:highlight w:val="none"/>
                <w:lang w:val="en-US" w:eastAsia="zh-CN" w:bidi="ar"/>
              </w:rPr>
              <w:t>3级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51～75分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strike w:val="0"/>
                <w:dstrike w:val="0"/>
                <w:color w:val="auto"/>
                <w:kern w:val="0"/>
                <w:sz w:val="21"/>
                <w:szCs w:val="21"/>
                <w:highlight w:val="none"/>
                <w:lang w:val="en-US" w:eastAsia="zh-CN" w:bidi="ar"/>
              </w:rPr>
              <w:t>：研究成果基本融人现有知识体系，研究具有开拓性、研究成果与相关科技系统能相互解释或补充，研究较深入，应用推广方面具有一定引领性。</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strike w:val="0"/>
                <w:dstrike w:val="0"/>
                <w:color w:val="auto"/>
                <w:kern w:val="0"/>
                <w:sz w:val="21"/>
                <w:szCs w:val="21"/>
                <w:highlight w:val="none"/>
                <w:lang w:val="en-US" w:eastAsia="zh-CN" w:bidi="ar"/>
              </w:rPr>
            </w:pPr>
            <w:r>
              <w:rPr>
                <w:rFonts w:hint="eastAsia" w:ascii="仿宋" w:hAnsi="仿宋" w:eastAsia="仿宋" w:cs="仿宋"/>
                <w:strike w:val="0"/>
                <w:dstrike w:val="0"/>
                <w:color w:val="auto"/>
                <w:kern w:val="0"/>
                <w:sz w:val="21"/>
                <w:szCs w:val="21"/>
                <w:highlight w:val="none"/>
                <w:lang w:val="en-US" w:eastAsia="zh-CN" w:bidi="ar"/>
              </w:rPr>
              <w:t>2级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26～50分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strike w:val="0"/>
                <w:dstrike w:val="0"/>
                <w:color w:val="auto"/>
                <w:kern w:val="0"/>
                <w:sz w:val="21"/>
                <w:szCs w:val="21"/>
                <w:highlight w:val="none"/>
                <w:lang w:val="en-US" w:eastAsia="zh-CN" w:bidi="ar"/>
              </w:rPr>
              <w:t>：研究成果拓展了现有知识体系，框架体系基本建立，但在整个知识体系中的定位尚未得到确认，应用推广路径不清晰。</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eastAsia" w:ascii="仿宋" w:hAnsi="仿宋" w:eastAsia="仿宋" w:cs="仿宋"/>
                <w:strike w:val="0"/>
                <w:dstrike w:val="0"/>
                <w:color w:val="auto"/>
                <w:kern w:val="0"/>
                <w:sz w:val="21"/>
                <w:szCs w:val="21"/>
                <w:highlight w:val="none"/>
                <w:lang w:val="en-US" w:eastAsia="zh-CN" w:bidi="ar"/>
              </w:rPr>
            </w:pPr>
            <w:r>
              <w:rPr>
                <w:rFonts w:hint="eastAsia" w:ascii="仿宋" w:hAnsi="仿宋" w:eastAsia="仿宋" w:cs="仿宋"/>
                <w:strike w:val="0"/>
                <w:dstrike w:val="0"/>
                <w:color w:val="auto"/>
                <w:kern w:val="0"/>
                <w:sz w:val="21"/>
                <w:szCs w:val="21"/>
                <w:highlight w:val="none"/>
                <w:lang w:val="en-US" w:eastAsia="zh-CN" w:bidi="ar"/>
              </w:rPr>
              <w:t>1级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0～25分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strike w:val="0"/>
                <w:dstrike w:val="0"/>
                <w:color w:val="auto"/>
                <w:kern w:val="0"/>
                <w:sz w:val="21"/>
                <w:szCs w:val="21"/>
                <w:highlight w:val="none"/>
                <w:lang w:val="en-US" w:eastAsia="zh-CN" w:bidi="ar"/>
              </w:rPr>
              <w:t>：研究成果拓展了现有知识体系边界，体系尚不完善，应用推广前景不明朗。</w:t>
            </w:r>
          </w:p>
        </w:tc>
        <w:tc>
          <w:tcPr>
            <w:tcW w:w="807" w:type="pct"/>
            <w:shd w:val="clear" w:color="auto" w:fill="auto"/>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eastAsia" w:ascii="仿宋" w:hAnsi="仿宋" w:eastAsia="仿宋" w:cs="仿宋"/>
                <w:strike w:val="0"/>
                <w:dstrike w:val="0"/>
                <w:color w:val="auto"/>
                <w:kern w:val="0"/>
                <w:sz w:val="21"/>
                <w:szCs w:val="21"/>
                <w:highlight w:val="none"/>
                <w:lang w:val="en-US" w:eastAsia="zh-CN" w:bidi="ar"/>
              </w:rPr>
            </w:pPr>
            <w:r>
              <w:rPr>
                <w:rFonts w:hint="eastAsia" w:ascii="仿宋" w:hAnsi="仿宋" w:eastAsia="仿宋" w:cs="仿宋"/>
                <w:color w:val="auto"/>
                <w:sz w:val="21"/>
                <w:szCs w:val="21"/>
                <w:highlight w:val="none"/>
                <w:shd w:val="clear" w:color="auto" w:fill="FFFFFF"/>
                <w:lang w:val="en-US" w:eastAsia="zh-CN"/>
              </w:rPr>
              <w:t>论文、科技查新报告等。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41" w:type="pct"/>
            <w:vMerge w:val="continue"/>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0" w:firstLineChars="0"/>
              <w:jc w:val="center"/>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p>
        </w:tc>
        <w:tc>
          <w:tcPr>
            <w:tcW w:w="350" w:type="pct"/>
            <w:shd w:val="clear" w:color="auto" w:fill="auto"/>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Fonts w:hint="eastAsia" w:ascii="仿宋" w:hAnsi="仿宋" w:eastAsia="仿宋" w:cs="仿宋"/>
                <w:i w:val="0"/>
                <w:caps w:val="0"/>
                <w:color w:val="C00000"/>
                <w:spacing w:val="0"/>
                <w:kern w:val="0"/>
                <w:sz w:val="21"/>
                <w:szCs w:val="21"/>
                <w:highlight w:val="none"/>
                <w:shd w:val="clear" w:color="auto" w:fill="FFFFFF"/>
                <w:vertAlign w:val="baseline"/>
                <w:lang w:val="en-US" w:eastAsia="zh-CN" w:bidi="ar"/>
              </w:rPr>
            </w:pPr>
            <w:r>
              <w:rPr>
                <w:rFonts w:hint="eastAsia" w:ascii="仿宋" w:hAnsi="仿宋" w:eastAsia="仿宋" w:cs="仿宋"/>
                <w:color w:val="auto"/>
                <w:kern w:val="0"/>
                <w:sz w:val="21"/>
                <w:szCs w:val="21"/>
                <w:highlight w:val="none"/>
                <w:lang w:val="en-US" w:eastAsia="zh-CN" w:bidi="ar"/>
              </w:rPr>
              <w:t>A3.同行认可度</w:t>
            </w:r>
          </w:p>
        </w:tc>
        <w:tc>
          <w:tcPr>
            <w:tcW w:w="605" w:type="pct"/>
            <w:shd w:val="clear" w:color="auto" w:fill="auto"/>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default" w:ascii="仿宋" w:hAnsi="仿宋" w:eastAsia="仿宋" w:cs="仿宋"/>
                <w:i w:val="0"/>
                <w:caps w:val="0"/>
                <w:color w:val="auto"/>
                <w:spacing w:val="0"/>
                <w:kern w:val="0"/>
                <w:sz w:val="21"/>
                <w:szCs w:val="21"/>
                <w:highlight w:val="none"/>
                <w:shd w:val="clear" w:color="auto" w:fill="FFFFFF"/>
                <w:vertAlign w:val="baseline"/>
                <w:lang w:val="en-US" w:eastAsia="zh-CN" w:bidi="ar"/>
              </w:rPr>
            </w:pPr>
            <w:r>
              <w:rPr>
                <w:rFonts w:hint="eastAsia" w:ascii="仿宋" w:hAnsi="仿宋" w:eastAsia="仿宋" w:cs="仿宋"/>
                <w:i w:val="0"/>
                <w:caps w:val="0"/>
                <w:color w:val="auto"/>
                <w:spacing w:val="0"/>
                <w:kern w:val="0"/>
                <w:sz w:val="21"/>
                <w:szCs w:val="21"/>
                <w:highlight w:val="none"/>
                <w:shd w:val="clear" w:color="auto" w:fill="FFFFFF"/>
                <w:vertAlign w:val="baseline"/>
                <w:lang w:val="en-US" w:eastAsia="zh-CN" w:bidi="ar"/>
              </w:rPr>
              <w:t>衡量成果在相关领域被同行认可的程度</w:t>
            </w:r>
          </w:p>
        </w:tc>
        <w:tc>
          <w:tcPr>
            <w:tcW w:w="2994" w:type="pct"/>
            <w:shd w:val="clear" w:color="auto" w:fill="auto"/>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strike w:val="0"/>
                <w:dstrike w:val="0"/>
                <w:color w:val="auto"/>
                <w:kern w:val="0"/>
                <w:sz w:val="21"/>
                <w:szCs w:val="21"/>
                <w:highlight w:val="none"/>
                <w:lang w:val="en-US" w:eastAsia="zh-CN" w:bidi="ar"/>
              </w:rPr>
            </w:pPr>
            <w:r>
              <w:rPr>
                <w:rFonts w:hint="eastAsia" w:ascii="仿宋" w:hAnsi="仿宋" w:eastAsia="仿宋" w:cs="仿宋"/>
                <w:strike w:val="0"/>
                <w:dstrike w:val="0"/>
                <w:color w:val="auto"/>
                <w:kern w:val="0"/>
                <w:sz w:val="21"/>
                <w:szCs w:val="21"/>
                <w:highlight w:val="none"/>
                <w:lang w:val="en-US" w:eastAsia="zh-CN" w:bidi="ar"/>
              </w:rPr>
              <w:t>4级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76～100分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strike w:val="0"/>
                <w:dstrike w:val="0"/>
                <w:color w:val="auto"/>
                <w:kern w:val="0"/>
                <w:sz w:val="21"/>
                <w:szCs w:val="21"/>
                <w:highlight w:val="none"/>
                <w:lang w:val="en-US" w:eastAsia="zh-CN" w:bidi="ar"/>
              </w:rPr>
              <w:t>：成果获得国际同行公认和广泛引用或验证、获国际知名专家、同行专家推荐，在国际专业会议上发表研究报告，正面评论在多种国际专业期刊或媒体上广泛刊发、引起国际同行广泛关注和跟进研究。</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strike w:val="0"/>
                <w:dstrike w:val="0"/>
                <w:color w:val="auto"/>
                <w:kern w:val="0"/>
                <w:sz w:val="21"/>
                <w:szCs w:val="21"/>
                <w:highlight w:val="none"/>
                <w:lang w:val="en-US" w:eastAsia="zh-CN" w:bidi="ar"/>
              </w:rPr>
            </w:pPr>
            <w:r>
              <w:rPr>
                <w:rFonts w:hint="eastAsia" w:ascii="仿宋" w:hAnsi="仿宋" w:eastAsia="仿宋" w:cs="仿宋"/>
                <w:strike w:val="0"/>
                <w:dstrike w:val="0"/>
                <w:color w:val="auto"/>
                <w:kern w:val="0"/>
                <w:sz w:val="21"/>
                <w:szCs w:val="21"/>
                <w:highlight w:val="none"/>
                <w:lang w:val="en-US" w:eastAsia="zh-CN" w:bidi="ar"/>
              </w:rPr>
              <w:t>3级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51～75分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strike w:val="0"/>
                <w:dstrike w:val="0"/>
                <w:color w:val="auto"/>
                <w:kern w:val="0"/>
                <w:sz w:val="21"/>
                <w:szCs w:val="21"/>
                <w:highlight w:val="none"/>
                <w:lang w:val="en-US" w:eastAsia="zh-CN" w:bidi="ar"/>
              </w:rPr>
              <w:t>：成果获得国内同行认可，被引用或验证、在国内本领域年度会议上发表研究报告，正面评论在多种国内专业期刊或媒体上广泛刊发，在国内本领域同行内引起跟进研究。</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strike w:val="0"/>
                <w:dstrike w:val="0"/>
                <w:color w:val="auto"/>
                <w:kern w:val="0"/>
                <w:sz w:val="21"/>
                <w:szCs w:val="21"/>
                <w:highlight w:val="none"/>
                <w:lang w:val="en-US" w:eastAsia="zh-CN" w:bidi="ar"/>
              </w:rPr>
            </w:pPr>
            <w:r>
              <w:rPr>
                <w:rFonts w:hint="eastAsia" w:ascii="仿宋" w:hAnsi="仿宋" w:eastAsia="仿宋" w:cs="仿宋"/>
                <w:strike w:val="0"/>
                <w:dstrike w:val="0"/>
                <w:color w:val="auto"/>
                <w:kern w:val="0"/>
                <w:sz w:val="21"/>
                <w:szCs w:val="21"/>
                <w:highlight w:val="none"/>
                <w:lang w:val="en-US" w:eastAsia="zh-CN" w:bidi="ar"/>
              </w:rPr>
              <w:t>2级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26～50分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strike w:val="0"/>
                <w:dstrike w:val="0"/>
                <w:color w:val="auto"/>
                <w:kern w:val="0"/>
                <w:sz w:val="21"/>
                <w:szCs w:val="21"/>
                <w:highlight w:val="none"/>
                <w:lang w:val="en-US" w:eastAsia="zh-CN" w:bidi="ar"/>
              </w:rPr>
              <w:t>：论文、研究报告或技术方案在本单位发表，在单位内部宣讲，获得本单位同行认可及推荐。</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eastAsia" w:ascii="仿宋" w:hAnsi="仿宋" w:eastAsia="仿宋" w:cs="仿宋"/>
                <w:strike w:val="0"/>
                <w:dstrike w:val="0"/>
                <w:color w:val="auto"/>
                <w:kern w:val="0"/>
                <w:sz w:val="21"/>
                <w:szCs w:val="21"/>
                <w:highlight w:val="none"/>
                <w:lang w:val="en-US" w:eastAsia="zh-CN" w:bidi="ar"/>
              </w:rPr>
            </w:pPr>
            <w:r>
              <w:rPr>
                <w:rFonts w:hint="eastAsia" w:ascii="仿宋" w:hAnsi="仿宋" w:eastAsia="仿宋" w:cs="仿宋"/>
                <w:strike w:val="0"/>
                <w:dstrike w:val="0"/>
                <w:color w:val="auto"/>
                <w:kern w:val="0"/>
                <w:sz w:val="21"/>
                <w:szCs w:val="21"/>
                <w:highlight w:val="none"/>
                <w:lang w:val="en-US" w:eastAsia="zh-CN" w:bidi="ar"/>
              </w:rPr>
              <w:t>1级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0～25分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strike w:val="0"/>
                <w:dstrike w:val="0"/>
                <w:color w:val="auto"/>
                <w:kern w:val="0"/>
                <w:sz w:val="21"/>
                <w:szCs w:val="21"/>
                <w:highlight w:val="none"/>
                <w:lang w:val="en-US" w:eastAsia="zh-CN" w:bidi="ar"/>
              </w:rPr>
              <w:t>：未公开发表、未被同行认可、未被引用或验证。</w:t>
            </w:r>
          </w:p>
        </w:tc>
        <w:tc>
          <w:tcPr>
            <w:tcW w:w="807" w:type="pct"/>
            <w:shd w:val="clear" w:color="auto" w:fill="auto"/>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default" w:ascii="仿宋" w:hAnsi="仿宋" w:eastAsia="仿宋" w:cs="仿宋"/>
                <w:strike w:val="0"/>
                <w:dstrike w:val="0"/>
                <w:color w:val="auto"/>
                <w:kern w:val="0"/>
                <w:sz w:val="21"/>
                <w:szCs w:val="21"/>
                <w:highlight w:val="none"/>
                <w:lang w:val="en-US" w:eastAsia="zh-CN" w:bidi="ar"/>
              </w:rPr>
            </w:pPr>
            <w:r>
              <w:rPr>
                <w:rFonts w:hint="eastAsia" w:ascii="仿宋" w:hAnsi="仿宋" w:eastAsia="仿宋" w:cs="仿宋"/>
                <w:color w:val="auto"/>
                <w:sz w:val="21"/>
                <w:szCs w:val="21"/>
                <w:highlight w:val="none"/>
                <w:shd w:val="clear" w:color="auto" w:fill="FFFFFF"/>
                <w:lang w:val="en-US" w:eastAsia="zh-CN"/>
              </w:rPr>
              <w:t>论文、学术会议报告、论文引证检索报告等。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jc w:val="center"/>
        </w:trPr>
        <w:tc>
          <w:tcPr>
            <w:tcW w:w="241" w:type="pct"/>
            <w:vMerge w:val="continue"/>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0" w:firstLineChars="0"/>
              <w:jc w:val="center"/>
              <w:textAlignment w:val="auto"/>
              <w:rPr>
                <w:rFonts w:hint="eastAsia" w:ascii="仿宋" w:hAnsi="仿宋" w:eastAsia="仿宋" w:cs="仿宋"/>
                <w:i w:val="0"/>
                <w:caps w:val="0"/>
                <w:color w:val="auto"/>
                <w:spacing w:val="0"/>
                <w:sz w:val="18"/>
                <w:szCs w:val="18"/>
                <w:highlight w:val="none"/>
                <w:shd w:val="clear" w:color="auto" w:fill="FFFFFF"/>
                <w:vertAlign w:val="baseline"/>
                <w:lang w:val="en-US" w:eastAsia="zh-CN"/>
              </w:rPr>
            </w:pPr>
          </w:p>
        </w:tc>
        <w:tc>
          <w:tcPr>
            <w:tcW w:w="350" w:type="pct"/>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0" w:firstLineChars="0"/>
              <w:jc w:val="center"/>
              <w:textAlignment w:val="auto"/>
              <w:rPr>
                <w:rFonts w:hint="default"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A4.领域影响度</w:t>
            </w:r>
          </w:p>
        </w:tc>
        <w:tc>
          <w:tcPr>
            <w:tcW w:w="605" w:type="pct"/>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color w:val="auto"/>
                <w:sz w:val="21"/>
                <w:szCs w:val="21"/>
                <w:highlight w:val="none"/>
                <w:shd w:val="clear" w:color="auto" w:fill="FFFFFF"/>
                <w:lang w:val="en-US" w:eastAsia="zh-CN"/>
              </w:rPr>
              <w:t>衡量</w:t>
            </w:r>
            <w:r>
              <w:rPr>
                <w:rFonts w:hint="eastAsia" w:ascii="仿宋" w:hAnsi="仿宋" w:eastAsia="仿宋" w:cs="仿宋"/>
                <w:color w:val="auto"/>
                <w:sz w:val="21"/>
                <w:szCs w:val="21"/>
                <w:highlight w:val="none"/>
                <w:shd w:val="clear" w:color="auto" w:fill="FFFFFF"/>
              </w:rPr>
              <w:t>成果</w:t>
            </w:r>
            <w:r>
              <w:rPr>
                <w:rFonts w:hint="eastAsia" w:ascii="仿宋" w:hAnsi="仿宋" w:eastAsia="仿宋" w:cs="仿宋"/>
                <w:color w:val="auto"/>
                <w:sz w:val="21"/>
                <w:szCs w:val="21"/>
                <w:highlight w:val="none"/>
                <w:shd w:val="clear" w:color="auto" w:fill="FFFFFF"/>
                <w:lang w:val="en-US" w:eastAsia="zh-CN"/>
              </w:rPr>
              <w:t>影响范围的广度</w:t>
            </w:r>
            <w:r>
              <w:rPr>
                <w:rFonts w:hint="eastAsia" w:ascii="仿宋" w:hAnsi="仿宋" w:eastAsia="仿宋" w:cs="仿宋"/>
                <w:color w:val="auto"/>
                <w:sz w:val="21"/>
                <w:szCs w:val="21"/>
                <w:highlight w:val="none"/>
                <w:shd w:val="clear" w:color="auto" w:fill="FFFFFF"/>
              </w:rPr>
              <w:t>。</w:t>
            </w:r>
          </w:p>
        </w:tc>
        <w:tc>
          <w:tcPr>
            <w:tcW w:w="2994" w:type="pct"/>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color w:val="auto"/>
                <w:sz w:val="21"/>
                <w:szCs w:val="21"/>
                <w:highlight w:val="none"/>
                <w:shd w:val="clear" w:color="auto" w:fill="FFFFFF"/>
                <w:lang w:eastAsia="zh-CN"/>
              </w:rPr>
            </w:pPr>
            <w:r>
              <w:rPr>
                <w:rFonts w:hint="eastAsia" w:ascii="仿宋" w:hAnsi="仿宋" w:eastAsia="仿宋" w:cs="仿宋"/>
                <w:color w:val="auto"/>
                <w:sz w:val="21"/>
                <w:szCs w:val="21"/>
                <w:highlight w:val="none"/>
                <w:shd w:val="clear" w:color="auto" w:fill="FFFFFF"/>
              </w:rPr>
              <w:t>4级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76～100分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rPr>
              <w:t>：成果具有国际影响（发表于公认的国际性权威期刊、知识产权获国内及国外授权，成果创新点有助于开拓国际市场、提升国际影响力）</w:t>
            </w:r>
            <w:r>
              <w:rPr>
                <w:rFonts w:hint="eastAsia" w:ascii="仿宋" w:hAnsi="仿宋" w:eastAsia="仿宋" w:cs="仿宋"/>
                <w:color w:val="auto"/>
                <w:sz w:val="21"/>
                <w:szCs w:val="21"/>
                <w:highlight w:val="none"/>
                <w:shd w:val="clear" w:color="auto" w:fill="FFFFFF"/>
                <w:lang w:eastAsia="zh-CN"/>
              </w:rPr>
              <w:t>。</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color w:val="auto"/>
                <w:sz w:val="21"/>
                <w:szCs w:val="21"/>
                <w:highlight w:val="none"/>
                <w:shd w:val="clear" w:color="auto" w:fill="FFFFFF"/>
                <w:lang w:eastAsia="zh-CN"/>
              </w:rPr>
            </w:pPr>
            <w:r>
              <w:rPr>
                <w:rFonts w:hint="eastAsia" w:ascii="仿宋" w:hAnsi="仿宋" w:eastAsia="仿宋" w:cs="仿宋"/>
                <w:color w:val="auto"/>
                <w:sz w:val="21"/>
                <w:szCs w:val="21"/>
                <w:highlight w:val="none"/>
                <w:shd w:val="clear" w:color="auto" w:fill="FFFFFF"/>
              </w:rPr>
              <w:t>3级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51～75分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rPr>
              <w:t>：成果影响范围扩大至全国（论文发表于公认的国内权威期刊、知识产权获国内授权，成果创新点助推国内相关产业转型升级、化解社会矛盾）</w:t>
            </w:r>
            <w:r>
              <w:rPr>
                <w:rFonts w:hint="eastAsia" w:ascii="仿宋" w:hAnsi="仿宋" w:eastAsia="仿宋" w:cs="仿宋"/>
                <w:color w:val="auto"/>
                <w:sz w:val="21"/>
                <w:szCs w:val="21"/>
                <w:highlight w:val="none"/>
                <w:shd w:val="clear" w:color="auto" w:fill="FFFFFF"/>
                <w:lang w:eastAsia="zh-CN"/>
              </w:rPr>
              <w:t>。</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color w:val="auto"/>
                <w:sz w:val="21"/>
                <w:szCs w:val="21"/>
                <w:highlight w:val="none"/>
                <w:shd w:val="clear" w:color="auto" w:fill="FFFFFF"/>
                <w:lang w:eastAsia="zh-CN"/>
              </w:rPr>
            </w:pPr>
            <w:r>
              <w:rPr>
                <w:rFonts w:hint="eastAsia" w:ascii="仿宋" w:hAnsi="仿宋" w:eastAsia="仿宋" w:cs="仿宋"/>
                <w:color w:val="auto"/>
                <w:sz w:val="21"/>
                <w:szCs w:val="21"/>
                <w:highlight w:val="none"/>
                <w:shd w:val="clear" w:color="auto" w:fill="FFFFFF"/>
              </w:rPr>
              <w:t>2级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26～50分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rPr>
              <w:t>：成果影响范围覆盖国内相关行业或领域（论文发表于核心期刊、成果创新点有助于推动行业或区域发展）</w:t>
            </w:r>
            <w:r>
              <w:rPr>
                <w:rFonts w:hint="eastAsia" w:ascii="仿宋" w:hAnsi="仿宋" w:eastAsia="仿宋" w:cs="仿宋"/>
                <w:color w:val="auto"/>
                <w:sz w:val="21"/>
                <w:szCs w:val="21"/>
                <w:highlight w:val="none"/>
                <w:shd w:val="clear" w:color="auto" w:fill="FFFFFF"/>
                <w:lang w:eastAsia="zh-CN"/>
              </w:rPr>
              <w:t>。</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color w:val="auto"/>
                <w:sz w:val="21"/>
                <w:szCs w:val="21"/>
                <w:highlight w:val="none"/>
                <w:shd w:val="clear" w:color="auto" w:fill="FFFFFF"/>
              </w:rPr>
              <w:t>1级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0～25分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rPr>
              <w:t>：成果影响范围限于</w:t>
            </w:r>
            <w:r>
              <w:rPr>
                <w:rFonts w:hint="eastAsia" w:ascii="仿宋" w:hAnsi="仿宋" w:eastAsia="仿宋" w:cs="仿宋"/>
                <w:color w:val="auto"/>
                <w:sz w:val="21"/>
                <w:szCs w:val="21"/>
                <w:highlight w:val="none"/>
                <w:shd w:val="clear" w:color="auto" w:fill="FFFFFF"/>
                <w:lang w:val="en-US" w:eastAsia="zh-CN"/>
              </w:rPr>
              <w:t>区内特定行业或领域</w:t>
            </w:r>
            <w:r>
              <w:rPr>
                <w:rFonts w:hint="eastAsia" w:ascii="仿宋" w:hAnsi="仿宋" w:eastAsia="仿宋" w:cs="仿宋"/>
                <w:color w:val="auto"/>
                <w:sz w:val="21"/>
                <w:szCs w:val="21"/>
                <w:highlight w:val="none"/>
                <w:shd w:val="clear" w:color="auto" w:fill="FFFFFF"/>
              </w:rPr>
              <w:t>（</w:t>
            </w:r>
            <w:r>
              <w:rPr>
                <w:rFonts w:hint="eastAsia" w:ascii="仿宋" w:hAnsi="仿宋" w:eastAsia="仿宋" w:cs="仿宋"/>
                <w:color w:val="auto"/>
                <w:sz w:val="21"/>
                <w:szCs w:val="21"/>
                <w:highlight w:val="none"/>
                <w:shd w:val="clear" w:color="auto" w:fill="FFFFFF"/>
                <w:lang w:val="en-US" w:eastAsia="zh-CN"/>
              </w:rPr>
              <w:t>论文</w:t>
            </w:r>
            <w:r>
              <w:rPr>
                <w:rFonts w:hint="eastAsia" w:ascii="仿宋" w:hAnsi="仿宋" w:eastAsia="仿宋" w:cs="仿宋"/>
                <w:color w:val="auto"/>
                <w:sz w:val="21"/>
                <w:szCs w:val="21"/>
                <w:highlight w:val="none"/>
                <w:shd w:val="clear" w:color="auto" w:fill="FFFFFF"/>
              </w:rPr>
              <w:t>发表</w:t>
            </w:r>
            <w:r>
              <w:rPr>
                <w:rFonts w:hint="eastAsia" w:ascii="仿宋" w:hAnsi="仿宋" w:eastAsia="仿宋" w:cs="仿宋"/>
                <w:color w:val="auto"/>
                <w:sz w:val="21"/>
                <w:szCs w:val="21"/>
                <w:highlight w:val="none"/>
                <w:shd w:val="clear" w:color="auto" w:fill="FFFFFF"/>
                <w:lang w:val="en-US" w:eastAsia="zh-CN"/>
              </w:rPr>
              <w:t>于</w:t>
            </w:r>
            <w:r>
              <w:rPr>
                <w:rFonts w:hint="eastAsia" w:ascii="仿宋" w:hAnsi="仿宋" w:eastAsia="仿宋" w:cs="仿宋"/>
                <w:color w:val="auto"/>
                <w:sz w:val="21"/>
                <w:szCs w:val="21"/>
                <w:highlight w:val="none"/>
                <w:shd w:val="clear" w:color="auto" w:fill="FFFFFF"/>
              </w:rPr>
              <w:t>一般期刊、成果创新点仅对特定</w:t>
            </w:r>
            <w:r>
              <w:rPr>
                <w:rFonts w:hint="eastAsia" w:ascii="仿宋" w:hAnsi="仿宋" w:eastAsia="仿宋" w:cs="仿宋"/>
                <w:color w:val="auto"/>
                <w:sz w:val="21"/>
                <w:szCs w:val="21"/>
                <w:highlight w:val="none"/>
                <w:shd w:val="clear" w:color="auto" w:fill="FFFFFF"/>
                <w:lang w:val="en-US" w:eastAsia="zh-CN"/>
              </w:rPr>
              <w:t>主体、</w:t>
            </w:r>
            <w:r>
              <w:rPr>
                <w:rFonts w:hint="eastAsia" w:ascii="仿宋" w:hAnsi="仿宋" w:eastAsia="仿宋" w:cs="仿宋"/>
                <w:color w:val="auto"/>
                <w:sz w:val="21"/>
                <w:szCs w:val="21"/>
                <w:highlight w:val="none"/>
                <w:shd w:val="clear" w:color="auto" w:fill="FFFFFF"/>
              </w:rPr>
              <w:t>特定领域有利）</w:t>
            </w:r>
            <w:r>
              <w:rPr>
                <w:rFonts w:hint="eastAsia" w:ascii="仿宋" w:hAnsi="仿宋" w:eastAsia="仿宋" w:cs="仿宋"/>
                <w:color w:val="auto"/>
                <w:sz w:val="21"/>
                <w:szCs w:val="21"/>
                <w:highlight w:val="none"/>
                <w:shd w:val="clear" w:color="auto" w:fill="FFFFFF"/>
                <w:lang w:eastAsia="zh-CN"/>
              </w:rPr>
              <w:t>。</w:t>
            </w:r>
          </w:p>
        </w:tc>
        <w:tc>
          <w:tcPr>
            <w:tcW w:w="807" w:type="pct"/>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default" w:ascii="仿宋" w:hAnsi="仿宋" w:eastAsia="仿宋" w:cs="仿宋"/>
                <w:color w:val="auto"/>
                <w:sz w:val="21"/>
                <w:szCs w:val="21"/>
                <w:highlight w:val="none"/>
                <w:shd w:val="clear" w:color="auto" w:fill="FFFFFF"/>
                <w:lang w:val="en-US"/>
              </w:rPr>
            </w:pPr>
            <w:r>
              <w:rPr>
                <w:rFonts w:hint="eastAsia" w:ascii="仿宋" w:hAnsi="仿宋" w:eastAsia="仿宋" w:cs="仿宋"/>
                <w:color w:val="auto"/>
                <w:sz w:val="21"/>
                <w:szCs w:val="21"/>
                <w:highlight w:val="none"/>
                <w:shd w:val="clear" w:color="auto" w:fill="FFFFFF"/>
                <w:lang w:val="en-US" w:eastAsia="zh-CN"/>
              </w:rPr>
              <w:t>论文、科技查新报告等。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 w:type="pct"/>
            <w:vMerge w:val="continue"/>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0" w:firstLineChars="0"/>
              <w:jc w:val="center"/>
              <w:textAlignment w:val="auto"/>
              <w:rPr>
                <w:rFonts w:hint="eastAsia" w:ascii="仿宋" w:hAnsi="仿宋" w:eastAsia="仿宋" w:cs="仿宋"/>
                <w:i w:val="0"/>
                <w:caps w:val="0"/>
                <w:color w:val="auto"/>
                <w:spacing w:val="0"/>
                <w:sz w:val="18"/>
                <w:szCs w:val="18"/>
                <w:highlight w:val="none"/>
                <w:shd w:val="clear" w:color="auto" w:fill="FFFFFF"/>
                <w:vertAlign w:val="baseline"/>
                <w:lang w:val="en-US" w:eastAsia="zh-CN"/>
              </w:rPr>
            </w:pPr>
          </w:p>
        </w:tc>
        <w:tc>
          <w:tcPr>
            <w:tcW w:w="350" w:type="pct"/>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0" w:firstLineChars="0"/>
              <w:jc w:val="center"/>
              <w:textAlignment w:val="auto"/>
              <w:rPr>
                <w:rFonts w:hint="default" w:ascii="仿宋" w:hAnsi="仿宋" w:eastAsia="仿宋" w:cs="仿宋"/>
                <w:i w:val="0"/>
                <w:caps w:val="0"/>
                <w:color w:val="C00000"/>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A5.成果推广度</w:t>
            </w:r>
          </w:p>
        </w:tc>
        <w:tc>
          <w:tcPr>
            <w:tcW w:w="605" w:type="pct"/>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default"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衡量成果应用推广对提升经济、生态、社会效益的程度与可行性</w:t>
            </w:r>
          </w:p>
        </w:tc>
        <w:tc>
          <w:tcPr>
            <w:tcW w:w="2994" w:type="pct"/>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default" w:ascii="仿宋" w:hAnsi="仿宋" w:eastAsia="仿宋" w:cs="仿宋"/>
                <w:strike w:val="0"/>
                <w:dstrike w:val="0"/>
                <w:color w:val="auto"/>
                <w:kern w:val="0"/>
                <w:sz w:val="21"/>
                <w:szCs w:val="21"/>
                <w:highlight w:val="none"/>
                <w:lang w:val="en-US" w:eastAsia="zh-CN" w:bidi="ar"/>
              </w:rPr>
            </w:pPr>
            <w:r>
              <w:rPr>
                <w:rFonts w:hint="eastAsia" w:ascii="仿宋" w:hAnsi="仿宋" w:eastAsia="仿宋" w:cs="仿宋"/>
                <w:strike w:val="0"/>
                <w:dstrike w:val="0"/>
                <w:color w:val="auto"/>
                <w:kern w:val="0"/>
                <w:sz w:val="21"/>
                <w:szCs w:val="21"/>
                <w:highlight w:val="none"/>
                <w:lang w:val="en-US" w:eastAsia="zh-CN" w:bidi="ar"/>
              </w:rPr>
              <w:t>3级（6</w:t>
            </w:r>
            <w:r>
              <w:rPr>
                <w:rFonts w:hint="eastAsia" w:ascii="仿宋" w:hAnsi="仿宋" w:eastAsia="仿宋" w:cs="仿宋"/>
                <w:color w:val="auto"/>
                <w:sz w:val="21"/>
                <w:szCs w:val="21"/>
                <w:highlight w:val="none"/>
                <w:shd w:val="clear" w:color="auto" w:fill="FFFFFF"/>
                <w:lang w:val="en-US" w:eastAsia="zh-CN"/>
              </w:rPr>
              <w:t>1～100分</w:t>
            </w:r>
            <w:r>
              <w:rPr>
                <w:rFonts w:hint="eastAsia" w:ascii="仿宋" w:hAnsi="仿宋" w:eastAsia="仿宋" w:cs="仿宋"/>
                <w:strike w:val="0"/>
                <w:dstrike w:val="0"/>
                <w:color w:val="auto"/>
                <w:kern w:val="0"/>
                <w:sz w:val="21"/>
                <w:szCs w:val="21"/>
                <w:highlight w:val="none"/>
                <w:lang w:val="en-US" w:eastAsia="zh-CN" w:bidi="ar"/>
              </w:rPr>
              <w:t>）：成果对经济社会发展起指导或推动作用，为未来产业发展奠定理论基础，成果转化应用的可行性高，潜在经济、社会和生态效较高。</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default" w:ascii="仿宋" w:hAnsi="仿宋" w:eastAsia="仿宋" w:cs="仿宋"/>
                <w:strike w:val="0"/>
                <w:dstrike w:val="0"/>
                <w:color w:val="auto"/>
                <w:kern w:val="0"/>
                <w:sz w:val="21"/>
                <w:szCs w:val="21"/>
                <w:highlight w:val="none"/>
                <w:lang w:val="en-US" w:eastAsia="zh-CN" w:bidi="ar"/>
              </w:rPr>
            </w:pPr>
            <w:r>
              <w:rPr>
                <w:rFonts w:hint="eastAsia" w:ascii="仿宋" w:hAnsi="仿宋" w:eastAsia="仿宋" w:cs="仿宋"/>
                <w:strike w:val="0"/>
                <w:dstrike w:val="0"/>
                <w:color w:val="auto"/>
                <w:kern w:val="0"/>
                <w:sz w:val="21"/>
                <w:szCs w:val="21"/>
                <w:highlight w:val="none"/>
                <w:lang w:val="en-US" w:eastAsia="zh-CN" w:bidi="ar"/>
              </w:rPr>
              <w:t>2级（3</w:t>
            </w:r>
            <w:r>
              <w:rPr>
                <w:rFonts w:hint="eastAsia" w:ascii="仿宋" w:hAnsi="仿宋" w:eastAsia="仿宋" w:cs="仿宋"/>
                <w:color w:val="auto"/>
                <w:sz w:val="21"/>
                <w:szCs w:val="21"/>
                <w:highlight w:val="none"/>
                <w:shd w:val="clear" w:color="auto" w:fill="FFFFFF"/>
                <w:lang w:val="en-US" w:eastAsia="zh-CN"/>
              </w:rPr>
              <w:t>1～60分</w:t>
            </w:r>
            <w:r>
              <w:rPr>
                <w:rFonts w:hint="eastAsia" w:ascii="仿宋" w:hAnsi="仿宋" w:eastAsia="仿宋" w:cs="仿宋"/>
                <w:strike w:val="0"/>
                <w:dstrike w:val="0"/>
                <w:color w:val="auto"/>
                <w:kern w:val="0"/>
                <w:sz w:val="21"/>
                <w:szCs w:val="21"/>
                <w:highlight w:val="none"/>
                <w:lang w:val="en-US" w:eastAsia="zh-CN" w:bidi="ar"/>
              </w:rPr>
              <w:t>）：成果对经济社会发的发展有一定推动作用、成果转化应用的可行性较高、潜在经济、生态和社会效益一般。</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default" w:ascii="仿宋" w:hAnsi="仿宋" w:eastAsia="仿宋" w:cs="仿宋"/>
                <w:strike w:val="0"/>
                <w:dstrike w:val="0"/>
                <w:color w:val="auto"/>
                <w:kern w:val="0"/>
                <w:sz w:val="21"/>
                <w:szCs w:val="21"/>
                <w:highlight w:val="none"/>
                <w:lang w:val="en-US" w:eastAsia="zh-CN" w:bidi="ar"/>
              </w:rPr>
            </w:pPr>
            <w:r>
              <w:rPr>
                <w:rFonts w:hint="eastAsia" w:ascii="仿宋" w:hAnsi="仿宋" w:eastAsia="仿宋" w:cs="仿宋"/>
                <w:strike w:val="0"/>
                <w:dstrike w:val="0"/>
                <w:color w:val="auto"/>
                <w:kern w:val="0"/>
                <w:sz w:val="21"/>
                <w:szCs w:val="21"/>
                <w:highlight w:val="none"/>
                <w:lang w:val="en-US" w:eastAsia="zh-CN" w:bidi="ar"/>
              </w:rPr>
              <w:t>1级（</w:t>
            </w:r>
            <w:r>
              <w:rPr>
                <w:rFonts w:hint="eastAsia" w:ascii="仿宋" w:hAnsi="仿宋" w:eastAsia="仿宋" w:cs="仿宋"/>
                <w:color w:val="auto"/>
                <w:sz w:val="21"/>
                <w:szCs w:val="21"/>
                <w:highlight w:val="none"/>
                <w:shd w:val="clear" w:color="auto" w:fill="FFFFFF"/>
                <w:lang w:val="en-US" w:eastAsia="zh-CN"/>
              </w:rPr>
              <w:t>0～30分</w:t>
            </w:r>
            <w:r>
              <w:rPr>
                <w:rFonts w:hint="eastAsia" w:ascii="仿宋" w:hAnsi="仿宋" w:eastAsia="仿宋" w:cs="仿宋"/>
                <w:strike w:val="0"/>
                <w:dstrike w:val="0"/>
                <w:color w:val="auto"/>
                <w:kern w:val="0"/>
                <w:sz w:val="21"/>
                <w:szCs w:val="21"/>
                <w:highlight w:val="none"/>
                <w:lang w:val="en-US" w:eastAsia="zh-CN" w:bidi="ar"/>
              </w:rPr>
              <w:t>）：成果对经济社会发展的推动作用小，成果转化应用的可行性低。</w:t>
            </w:r>
          </w:p>
        </w:tc>
        <w:tc>
          <w:tcPr>
            <w:tcW w:w="807" w:type="pct"/>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default" w:ascii="仿宋" w:hAnsi="仿宋" w:eastAsia="仿宋" w:cs="仿宋"/>
                <w:strike w:val="0"/>
                <w:dstrike w:val="0"/>
                <w:color w:val="auto"/>
                <w:kern w:val="0"/>
                <w:sz w:val="21"/>
                <w:szCs w:val="21"/>
                <w:highlight w:val="none"/>
                <w:lang w:val="en-US" w:eastAsia="zh-CN" w:bidi="ar"/>
              </w:rPr>
            </w:pPr>
            <w:r>
              <w:rPr>
                <w:rFonts w:hint="eastAsia" w:ascii="仿宋" w:hAnsi="仿宋" w:eastAsia="仿宋" w:cs="仿宋"/>
                <w:color w:val="auto"/>
                <w:sz w:val="21"/>
                <w:szCs w:val="21"/>
                <w:highlight w:val="none"/>
                <w:shd w:val="clear" w:color="auto" w:fill="FFFFFF"/>
                <w:lang w:val="en-US" w:eastAsia="zh-CN"/>
              </w:rPr>
              <w:t>论文、行业分析报告等。</w:t>
            </w:r>
          </w:p>
        </w:tc>
      </w:tr>
    </w:tbl>
    <w:p>
      <w:pPr>
        <w:keepNext w:val="0"/>
        <w:keepLines w:val="0"/>
        <w:pageBreakBefore w:val="0"/>
        <w:widowControl w:val="0"/>
        <w:kinsoku/>
        <w:wordWrap/>
        <w:overflowPunct/>
        <w:topLinePunct w:val="0"/>
        <w:autoSpaceDE/>
        <w:autoSpaceDN/>
        <w:bidi w:val="0"/>
        <w:adjustRightInd/>
        <w:snapToGrid/>
        <w:spacing w:line="576" w:lineRule="exact"/>
        <w:ind w:left="0" w:leftChars="0" w:firstLine="0" w:firstLineChars="0"/>
        <w:textAlignment w:val="auto"/>
        <w:outlineLvl w:val="0"/>
        <w:rPr>
          <w:rStyle w:val="10"/>
          <w:rFonts w:hint="eastAsia"/>
          <w:color w:val="auto"/>
          <w:lang w:val="en-US" w:eastAsia="zh-CN"/>
        </w:rPr>
      </w:pPr>
    </w:p>
    <w:bookmarkEnd w:id="0"/>
    <w:bookmarkEnd w:id="1"/>
    <w:p>
      <w:r>
        <w:br w:type="page"/>
      </w:r>
    </w:p>
    <w:p>
      <w:pPr>
        <w:keepNext w:val="0"/>
        <w:keepLines w:val="0"/>
        <w:pageBreakBefore w:val="0"/>
        <w:widowControl w:val="0"/>
        <w:kinsoku/>
        <w:wordWrap/>
        <w:overflowPunct/>
        <w:topLinePunct w:val="0"/>
        <w:autoSpaceDE/>
        <w:autoSpaceDN/>
        <w:bidi w:val="0"/>
        <w:adjustRightInd/>
        <w:snapToGrid/>
        <w:spacing w:line="576" w:lineRule="exact"/>
        <w:ind w:left="0" w:leftChars="0" w:firstLine="0" w:firstLineChars="0"/>
        <w:textAlignment w:val="auto"/>
        <w:outlineLvl w:val="0"/>
        <w:rPr>
          <w:rStyle w:val="10"/>
          <w:rFonts w:hint="eastAsia"/>
          <w:color w:val="auto"/>
          <w:lang w:val="en-US" w:eastAsia="zh-CN"/>
        </w:rPr>
      </w:pPr>
      <w:r>
        <w:rPr>
          <w:rStyle w:val="10"/>
          <w:rFonts w:hint="eastAsia"/>
          <w:color w:val="auto"/>
          <w:lang w:val="en-US" w:eastAsia="zh-CN"/>
        </w:rPr>
        <w:t>表1-2技术价值评价指标体系</w:t>
      </w:r>
    </w:p>
    <w:tbl>
      <w:tblPr>
        <w:tblStyle w:val="8"/>
        <w:tblpPr w:leftFromText="180" w:rightFromText="180" w:vertAnchor="text" w:horzAnchor="page" w:tblpXSpec="center" w:tblpY="312"/>
        <w:tblOverlap w:val="never"/>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1003"/>
        <w:gridCol w:w="1714"/>
        <w:gridCol w:w="8499"/>
        <w:gridCol w:w="22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8" w:type="pct"/>
            <w:shd w:val="clear" w:color="auto" w:fill="auto"/>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Fonts w:hint="eastAsia" w:ascii="黑体" w:hAnsi="黑体" w:eastAsia="黑体" w:cs="黑体"/>
                <w:b/>
                <w:bCs/>
                <w:i w:val="0"/>
                <w:caps w:val="0"/>
                <w:color w:val="auto"/>
                <w:spacing w:val="0"/>
                <w:kern w:val="0"/>
                <w:sz w:val="21"/>
                <w:szCs w:val="21"/>
                <w:highlight w:val="none"/>
                <w:shd w:val="clear" w:color="auto" w:fill="FFFFFF"/>
                <w:vertAlign w:val="baseline"/>
                <w:lang w:val="en-US" w:eastAsia="zh-CN" w:bidi="ar"/>
              </w:rPr>
            </w:pPr>
            <w:r>
              <w:rPr>
                <w:rFonts w:hint="eastAsia" w:ascii="黑体" w:hAnsi="黑体" w:eastAsia="黑体" w:cs="黑体"/>
                <w:b/>
                <w:bCs/>
                <w:i w:val="0"/>
                <w:caps w:val="0"/>
                <w:color w:val="auto"/>
                <w:spacing w:val="0"/>
                <w:sz w:val="21"/>
                <w:szCs w:val="21"/>
                <w:highlight w:val="none"/>
                <w:shd w:val="clear" w:color="auto" w:fill="FFFFFF"/>
                <w:vertAlign w:val="baseline"/>
                <w:lang w:val="en-US" w:eastAsia="zh-CN"/>
              </w:rPr>
              <w:t>一级指标</w:t>
            </w:r>
          </w:p>
        </w:tc>
        <w:tc>
          <w:tcPr>
            <w:tcW w:w="354" w:type="pct"/>
            <w:shd w:val="clear" w:color="auto" w:fill="auto"/>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Fonts w:hint="eastAsia" w:ascii="黑体" w:hAnsi="黑体" w:eastAsia="黑体" w:cs="黑体"/>
                <w:b/>
                <w:bCs/>
                <w:i w:val="0"/>
                <w:caps w:val="0"/>
                <w:color w:val="auto"/>
                <w:spacing w:val="0"/>
                <w:kern w:val="0"/>
                <w:sz w:val="21"/>
                <w:szCs w:val="21"/>
                <w:highlight w:val="none"/>
                <w:shd w:val="clear" w:color="auto" w:fill="FFFFFF"/>
                <w:vertAlign w:val="baseline"/>
                <w:lang w:val="en-US" w:eastAsia="zh-CN" w:bidi="ar"/>
              </w:rPr>
            </w:pPr>
            <w:r>
              <w:rPr>
                <w:rFonts w:hint="eastAsia" w:ascii="黑体" w:hAnsi="黑体" w:eastAsia="黑体" w:cs="黑体"/>
                <w:b/>
                <w:bCs/>
                <w:i w:val="0"/>
                <w:caps w:val="0"/>
                <w:color w:val="auto"/>
                <w:spacing w:val="0"/>
                <w:sz w:val="21"/>
                <w:szCs w:val="21"/>
                <w:highlight w:val="none"/>
                <w:shd w:val="clear" w:color="auto" w:fill="FFFFFF"/>
                <w:vertAlign w:val="baseline"/>
                <w:lang w:val="en-US" w:eastAsia="zh-CN"/>
              </w:rPr>
              <w:t>二级指标</w:t>
            </w:r>
          </w:p>
        </w:tc>
        <w:tc>
          <w:tcPr>
            <w:tcW w:w="605" w:type="pct"/>
            <w:shd w:val="clear" w:color="auto" w:fill="auto"/>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Fonts w:hint="eastAsia" w:ascii="黑体" w:hAnsi="黑体" w:eastAsia="黑体" w:cs="黑体"/>
                <w:b/>
                <w:bCs/>
                <w:i w:val="0"/>
                <w:caps w:val="0"/>
                <w:color w:val="auto"/>
                <w:spacing w:val="0"/>
                <w:kern w:val="0"/>
                <w:sz w:val="21"/>
                <w:szCs w:val="21"/>
                <w:highlight w:val="none"/>
                <w:shd w:val="clear" w:color="auto" w:fill="FFFFFF"/>
                <w:vertAlign w:val="baseline"/>
                <w:lang w:val="en-US" w:eastAsia="zh-CN" w:bidi="ar"/>
              </w:rPr>
            </w:pPr>
            <w:r>
              <w:rPr>
                <w:rFonts w:hint="eastAsia" w:ascii="黑体" w:hAnsi="黑体" w:eastAsia="黑体" w:cs="黑体"/>
                <w:b/>
                <w:bCs/>
                <w:i w:val="0"/>
                <w:caps w:val="0"/>
                <w:color w:val="auto"/>
                <w:spacing w:val="0"/>
                <w:sz w:val="21"/>
                <w:szCs w:val="21"/>
                <w:highlight w:val="none"/>
                <w:shd w:val="clear" w:color="auto" w:fill="FFFFFF"/>
                <w:vertAlign w:val="baseline"/>
                <w:lang w:val="en-US" w:eastAsia="zh-CN"/>
              </w:rPr>
              <w:t>指标说明</w:t>
            </w:r>
          </w:p>
        </w:tc>
        <w:tc>
          <w:tcPr>
            <w:tcW w:w="2999" w:type="pct"/>
            <w:shd w:val="clear" w:color="auto" w:fill="auto"/>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Fonts w:hint="eastAsia" w:ascii="黑体" w:hAnsi="黑体" w:eastAsia="黑体" w:cs="黑体"/>
                <w:b/>
                <w:bCs/>
                <w:i w:val="0"/>
                <w:caps w:val="0"/>
                <w:color w:val="auto"/>
                <w:spacing w:val="0"/>
                <w:kern w:val="0"/>
                <w:sz w:val="21"/>
                <w:szCs w:val="21"/>
                <w:highlight w:val="none"/>
                <w:shd w:val="clear" w:color="auto" w:fill="FFFFFF"/>
                <w:vertAlign w:val="baseline"/>
                <w:lang w:val="en-US" w:eastAsia="zh-CN" w:bidi="ar"/>
              </w:rPr>
            </w:pPr>
            <w:r>
              <w:rPr>
                <w:rFonts w:hint="eastAsia" w:ascii="黑体" w:hAnsi="黑体" w:eastAsia="黑体" w:cs="黑体"/>
                <w:b/>
                <w:bCs/>
                <w:i w:val="0"/>
                <w:caps w:val="0"/>
                <w:color w:val="auto"/>
                <w:spacing w:val="0"/>
                <w:sz w:val="21"/>
                <w:szCs w:val="21"/>
                <w:highlight w:val="none"/>
                <w:shd w:val="clear" w:color="auto" w:fill="FFFFFF"/>
                <w:vertAlign w:val="baseline"/>
                <w:lang w:val="en-US" w:eastAsia="zh-CN"/>
              </w:rPr>
              <w:t>评价要点</w:t>
            </w:r>
          </w:p>
        </w:tc>
        <w:tc>
          <w:tcPr>
            <w:tcW w:w="802" w:type="pct"/>
            <w:shd w:val="clear" w:color="auto" w:fill="auto"/>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Fonts w:hint="eastAsia" w:ascii="黑体" w:hAnsi="黑体" w:eastAsia="黑体" w:cs="黑体"/>
                <w:b/>
                <w:bCs/>
                <w:i w:val="0"/>
                <w:caps w:val="0"/>
                <w:color w:val="auto"/>
                <w:spacing w:val="0"/>
                <w:sz w:val="21"/>
                <w:szCs w:val="21"/>
                <w:highlight w:val="none"/>
                <w:shd w:val="clear" w:color="auto" w:fill="FFFFFF"/>
                <w:vertAlign w:val="baseline"/>
                <w:lang w:val="en-US" w:eastAsia="zh-CN"/>
              </w:rPr>
            </w:pPr>
            <w:r>
              <w:rPr>
                <w:rFonts w:hint="eastAsia" w:ascii="黑体" w:hAnsi="黑体" w:eastAsia="黑体" w:cs="黑体"/>
                <w:b/>
                <w:bCs/>
                <w:i w:val="0"/>
                <w:caps w:val="0"/>
                <w:color w:val="auto"/>
                <w:spacing w:val="0"/>
                <w:sz w:val="21"/>
                <w:szCs w:val="21"/>
                <w:highlight w:val="none"/>
                <w:shd w:val="clear" w:color="auto" w:fill="FFFFFF"/>
                <w:vertAlign w:val="baseline"/>
                <w:lang w:val="en-US" w:eastAsia="zh-CN"/>
              </w:rPr>
              <w:t>主要证明材料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8" w:type="pct"/>
            <w:vMerge w:val="restart"/>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0" w:firstLineChars="0"/>
              <w:jc w:val="center"/>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B.技术价值</w:t>
            </w:r>
          </w:p>
        </w:tc>
        <w:tc>
          <w:tcPr>
            <w:tcW w:w="354" w:type="pct"/>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0" w:firstLineChars="0"/>
              <w:jc w:val="center"/>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B1.技术创新度</w:t>
            </w:r>
          </w:p>
        </w:tc>
        <w:tc>
          <w:tcPr>
            <w:tcW w:w="605" w:type="pct"/>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0" w:firstLineChars="0"/>
              <w:jc w:val="left"/>
              <w:textAlignment w:val="auto"/>
              <w:rPr>
                <w:rFonts w:hint="default"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color w:val="auto"/>
                <w:sz w:val="21"/>
                <w:szCs w:val="21"/>
                <w:highlight w:val="none"/>
                <w:shd w:val="clear" w:color="auto" w:fill="FFFFFF"/>
                <w:lang w:val="en-US" w:eastAsia="zh-CN"/>
              </w:rPr>
              <w:t>衡量技术创新点在特定领域和范围内的新颖性</w:t>
            </w:r>
          </w:p>
        </w:tc>
        <w:tc>
          <w:tcPr>
            <w:tcW w:w="2999" w:type="pct"/>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4级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76～100分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：根据第三方科技成果查新，关键技术创新点在国际未有相同文献报道。</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3级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51～75分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：根据第三方科技成果查新，关键技术创新点在国内未有相同文献报道。</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2级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26～50分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：根据第三方科技成果查新，关键技术创新点在区内未有相同文献报道。</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left"/>
              <w:textAlignment w:val="auto"/>
              <w:rPr>
                <w:rFonts w:hint="default"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1级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0～25分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：根据第三方科技成果查新报告，关键技术创新点在区内已有相同文献报道。</w:t>
            </w:r>
          </w:p>
        </w:tc>
        <w:tc>
          <w:tcPr>
            <w:tcW w:w="802" w:type="pct"/>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left"/>
              <w:textAlignment w:val="auto"/>
              <w:rPr>
                <w:rFonts w:hint="default"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论文、专利、科技查新报告、专利检索分析报告、行业分析报告等。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8" w:type="pct"/>
            <w:vMerge w:val="continue"/>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0" w:firstLineChars="0"/>
              <w:jc w:val="center"/>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p>
        </w:tc>
        <w:tc>
          <w:tcPr>
            <w:tcW w:w="354" w:type="pct"/>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0" w:firstLineChars="0"/>
              <w:jc w:val="center"/>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B2.技术成熟度</w:t>
            </w:r>
          </w:p>
        </w:tc>
        <w:tc>
          <w:tcPr>
            <w:tcW w:w="605" w:type="pct"/>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color w:val="auto"/>
                <w:sz w:val="21"/>
                <w:szCs w:val="21"/>
                <w:highlight w:val="none"/>
                <w:shd w:val="clear" w:color="auto" w:fill="FFFFFF"/>
                <w:lang w:val="en-US" w:eastAsia="zh-CN"/>
              </w:rPr>
              <w:t>衡量</w:t>
            </w:r>
            <w:r>
              <w:rPr>
                <w:rFonts w:hint="eastAsia" w:ascii="仿宋" w:hAnsi="仿宋" w:eastAsia="仿宋" w:cs="仿宋"/>
                <w:color w:val="auto"/>
                <w:sz w:val="21"/>
                <w:szCs w:val="21"/>
                <w:highlight w:val="none"/>
                <w:shd w:val="clear" w:color="auto" w:fill="FFFFFF"/>
              </w:rPr>
              <w:t>成果转化为现实生产力的程度。</w:t>
            </w:r>
          </w:p>
        </w:tc>
        <w:tc>
          <w:tcPr>
            <w:tcW w:w="2999" w:type="pct"/>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9级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81～100分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：系统级：产品或系统通过试运行考验，可批量生产。</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8级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71～80分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：产品级：形成单品或系统，通过试验验证，技术性能指标稳定。</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7级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61～70分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：环境级：在实际环境中的产品或系统样机试验结论成立。</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6级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51～60分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：正样级：实验室环境中模型或实物性能指标满足方案、技术路线要求。</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5级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41～50分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：初样级：根据实验结论，形成部件或实物，可以测量、测试技术性能指标。</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4级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31～40分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：功能级：仿真报告在模拟环境中得到实验验证。</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left"/>
              <w:textAlignment w:val="auto"/>
              <w:rPr>
                <w:rFonts w:hint="default"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3级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21～30分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：仿真级：通过仿真实验，关键功能仿真结论成立、形成仿真报告。</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2级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11～20分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：方案级：确定技术路线或研发方案。</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1级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0～10分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：报告级：产生新想法或观察到新原理，研究形成正式报告。</w:t>
            </w:r>
          </w:p>
        </w:tc>
        <w:tc>
          <w:tcPr>
            <w:tcW w:w="802" w:type="pct"/>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left"/>
              <w:textAlignment w:val="auto"/>
              <w:rPr>
                <w:rFonts w:hint="default"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第三方检测报告、中试检测报告、设备检测报告、生产工艺验证报告、新药证书、论文、专利等。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70" w:hRule="atLeast"/>
          <w:jc w:val="center"/>
        </w:trPr>
        <w:tc>
          <w:tcPr>
            <w:tcW w:w="238" w:type="pct"/>
            <w:vMerge w:val="continue"/>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0" w:firstLineChars="0"/>
              <w:jc w:val="center"/>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p>
        </w:tc>
        <w:tc>
          <w:tcPr>
            <w:tcW w:w="354" w:type="pct"/>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0" w:firstLineChars="0"/>
              <w:jc w:val="center"/>
              <w:textAlignment w:val="auto"/>
              <w:rPr>
                <w:rFonts w:hint="default"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B3.技术先进度</w:t>
            </w:r>
          </w:p>
        </w:tc>
        <w:tc>
          <w:tcPr>
            <w:tcW w:w="605" w:type="pct"/>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color w:val="auto"/>
                <w:sz w:val="21"/>
                <w:szCs w:val="21"/>
                <w:highlight w:val="none"/>
                <w:shd w:val="clear" w:color="auto" w:fill="FFFFFF"/>
                <w:lang w:val="en-US" w:eastAsia="zh-CN"/>
              </w:rPr>
              <w:t>衡量</w:t>
            </w:r>
            <w:r>
              <w:rPr>
                <w:rFonts w:hint="eastAsia" w:ascii="仿宋" w:hAnsi="仿宋" w:eastAsia="仿宋" w:cs="仿宋"/>
                <w:color w:val="auto"/>
                <w:sz w:val="21"/>
                <w:szCs w:val="21"/>
                <w:highlight w:val="none"/>
                <w:shd w:val="clear" w:color="auto" w:fill="FFFFFF"/>
              </w:rPr>
              <w:t>成果关键性能指标与国内外同行之间的差异度。</w:t>
            </w:r>
          </w:p>
        </w:tc>
        <w:tc>
          <w:tcPr>
            <w:tcW w:w="2999" w:type="pct"/>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left"/>
              <w:textAlignment w:val="auto"/>
              <w:rPr>
                <w:rFonts w:hint="default"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7级（91～100分）：在国际范围内，成果的核心技术指标领先于该领域其他类似技术的相应指标。</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left"/>
              <w:textAlignment w:val="auto"/>
              <w:rPr>
                <w:rFonts w:hint="default"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6级（76～90分）：在国际范围内，成果的核心技术指标达到该领域其他类似技术的相应指标。</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left"/>
              <w:textAlignment w:val="auto"/>
              <w:rPr>
                <w:rFonts w:hint="default"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5级（61～75分）：在国内范围内，成果的核心技术指标领先于该领域其他类似技术的相应指标。</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left"/>
              <w:textAlignment w:val="auto"/>
              <w:rPr>
                <w:rFonts w:hint="default"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4级（46～60分）：在国内范围内，成果的核心技术指标达到该领域其他类似技术的相应指标。</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3级（31～45分）：在西藏范围内，成果的核心技术指标领先该领域其他类似技术的相应指标。</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2级（16～30分）：在西藏范围内，成果的核心技术指标达到该领域其他类似技术的相应指标。</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1级（0～15分）：在西藏范围内，成果的核心技术指标未达到该领域其他类似技术的相应指标。</w:t>
            </w:r>
          </w:p>
        </w:tc>
        <w:tc>
          <w:tcPr>
            <w:tcW w:w="802" w:type="pct"/>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left"/>
              <w:textAlignment w:val="auto"/>
              <w:rPr>
                <w:rFonts w:hint="default"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第三方检测报告、论文、专利、用户宣传资料、用户应用（试用）证明、技术标准等。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70" w:hRule="atLeast"/>
          <w:jc w:val="center"/>
        </w:trPr>
        <w:tc>
          <w:tcPr>
            <w:tcW w:w="238" w:type="pct"/>
            <w:vMerge w:val="continue"/>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0" w:firstLineChars="0"/>
              <w:jc w:val="center"/>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p>
        </w:tc>
        <w:tc>
          <w:tcPr>
            <w:tcW w:w="354" w:type="pct"/>
            <w:shd w:val="clear" w:color="auto" w:fill="auto"/>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Fonts w:hint="eastAsia" w:ascii="仿宋" w:hAnsi="仿宋" w:eastAsia="仿宋" w:cs="仿宋"/>
                <w:i w:val="0"/>
                <w:caps w:val="0"/>
                <w:color w:val="auto"/>
                <w:spacing w:val="0"/>
                <w:kern w:val="0"/>
                <w:sz w:val="21"/>
                <w:szCs w:val="21"/>
                <w:highlight w:val="none"/>
                <w:shd w:val="clear" w:color="auto" w:fill="FFFFFF"/>
                <w:vertAlign w:val="baseline"/>
                <w:lang w:val="en-US" w:eastAsia="zh-CN" w:bidi="ar"/>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B4.技术贡献度</w:t>
            </w:r>
          </w:p>
        </w:tc>
        <w:tc>
          <w:tcPr>
            <w:tcW w:w="605" w:type="pct"/>
            <w:shd w:val="clear" w:color="auto" w:fill="auto"/>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color w:val="auto"/>
                <w:sz w:val="21"/>
                <w:szCs w:val="21"/>
                <w:highlight w:val="none"/>
                <w:shd w:val="clear" w:color="auto" w:fill="FFFFFF"/>
                <w:lang w:val="en-US" w:eastAsia="zh-CN"/>
              </w:rPr>
              <w:t>衡量成果</w:t>
            </w:r>
            <w:r>
              <w:rPr>
                <w:rFonts w:hint="eastAsia" w:ascii="仿宋" w:hAnsi="仿宋" w:eastAsia="仿宋" w:cs="仿宋"/>
                <w:color w:val="auto"/>
                <w:sz w:val="21"/>
                <w:szCs w:val="21"/>
                <w:highlight w:val="none"/>
                <w:shd w:val="clear" w:color="auto" w:fill="FFFFFF"/>
              </w:rPr>
              <w:t>在解决企业重大技术难题、产业关键共性技术问题、重大工程应用方面的成效。</w:t>
            </w:r>
          </w:p>
        </w:tc>
        <w:tc>
          <w:tcPr>
            <w:tcW w:w="2999" w:type="pct"/>
            <w:shd w:val="clear" w:color="auto" w:fill="auto"/>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left"/>
              <w:textAlignment w:val="auto"/>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color w:val="auto"/>
                <w:kern w:val="0"/>
                <w:sz w:val="21"/>
                <w:szCs w:val="21"/>
                <w:highlight w:val="none"/>
                <w:lang w:val="en-US" w:eastAsia="zh-CN" w:bidi="ar"/>
              </w:rPr>
              <w:t>4级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76～100分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kern w:val="0"/>
                <w:sz w:val="21"/>
                <w:szCs w:val="21"/>
                <w:highlight w:val="none"/>
                <w:lang w:val="en-US" w:eastAsia="zh-CN" w:bidi="ar"/>
              </w:rPr>
              <w:t>：成果创新点突破了行业关键共性技术问题。</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left"/>
              <w:textAlignment w:val="auto"/>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color w:val="auto"/>
                <w:kern w:val="0"/>
                <w:sz w:val="21"/>
                <w:szCs w:val="21"/>
                <w:highlight w:val="none"/>
                <w:lang w:val="en-US" w:eastAsia="zh-CN" w:bidi="ar"/>
              </w:rPr>
              <w:t>3级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51～75分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kern w:val="0"/>
                <w:sz w:val="21"/>
                <w:szCs w:val="21"/>
                <w:highlight w:val="none"/>
                <w:lang w:val="en-US" w:eastAsia="zh-CN" w:bidi="ar"/>
              </w:rPr>
              <w:t>：成果创新点解决了行业共性技术问题。</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left"/>
              <w:textAlignment w:val="auto"/>
              <w:rPr>
                <w:rFonts w:hint="default" w:ascii="仿宋" w:hAnsi="仿宋" w:eastAsia="仿宋" w:cs="仿宋"/>
                <w:color w:val="auto"/>
                <w:kern w:val="0"/>
                <w:sz w:val="21"/>
                <w:szCs w:val="21"/>
                <w:highlight w:val="none"/>
                <w:lang w:val="en-US" w:eastAsia="zh-CN" w:bidi="ar"/>
              </w:rPr>
            </w:pPr>
            <w:r>
              <w:rPr>
                <w:rFonts w:hint="eastAsia" w:ascii="仿宋" w:hAnsi="仿宋" w:eastAsia="仿宋" w:cs="仿宋"/>
                <w:color w:val="auto"/>
                <w:kern w:val="0"/>
                <w:sz w:val="21"/>
                <w:szCs w:val="21"/>
                <w:highlight w:val="none"/>
                <w:lang w:val="en-US" w:eastAsia="zh-CN" w:bidi="ar"/>
              </w:rPr>
              <w:t>2级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26～50分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kern w:val="0"/>
                <w:sz w:val="21"/>
                <w:szCs w:val="21"/>
                <w:highlight w:val="none"/>
                <w:lang w:val="en-US" w:eastAsia="zh-CN" w:bidi="ar"/>
              </w:rPr>
              <w:t>成果创新点解决了企业重大技术难题</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color w:val="auto"/>
                <w:kern w:val="0"/>
                <w:sz w:val="21"/>
                <w:szCs w:val="21"/>
                <w:highlight w:val="none"/>
                <w:lang w:val="en-US" w:eastAsia="zh-CN" w:bidi="ar"/>
              </w:rPr>
              <w:t>1级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0～25分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kern w:val="0"/>
                <w:sz w:val="21"/>
                <w:szCs w:val="21"/>
                <w:highlight w:val="none"/>
                <w:lang w:val="en-US" w:eastAsia="zh-CN" w:bidi="ar"/>
              </w:rPr>
              <w:t>：成果创新点属于一般性技术改造。</w:t>
            </w:r>
          </w:p>
        </w:tc>
        <w:tc>
          <w:tcPr>
            <w:tcW w:w="802" w:type="pct"/>
            <w:shd w:val="clear" w:color="auto" w:fill="auto"/>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default" w:ascii="仿宋" w:hAnsi="仿宋" w:eastAsia="仿宋" w:cs="仿宋"/>
                <w:color w:val="auto"/>
                <w:kern w:val="0"/>
                <w:sz w:val="21"/>
                <w:szCs w:val="21"/>
                <w:highlight w:val="none"/>
                <w:lang w:val="en-US" w:eastAsia="zh-CN" w:bidi="ar"/>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第三方检测报告、论文、专利、用户宣传资料、用户应用（试用）证明、技术标准等。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8" w:type="pct"/>
            <w:vMerge w:val="continue"/>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0" w:firstLineChars="0"/>
              <w:jc w:val="center"/>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p>
        </w:tc>
        <w:tc>
          <w:tcPr>
            <w:tcW w:w="354" w:type="pct"/>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0" w:firstLineChars="0"/>
              <w:jc w:val="center"/>
              <w:textAlignment w:val="auto"/>
              <w:rPr>
                <w:rFonts w:hint="default"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B5.技术颠覆度</w:t>
            </w:r>
          </w:p>
        </w:tc>
        <w:tc>
          <w:tcPr>
            <w:tcW w:w="605" w:type="pct"/>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color w:val="auto"/>
                <w:sz w:val="21"/>
                <w:szCs w:val="21"/>
                <w:highlight w:val="none"/>
                <w:shd w:val="clear" w:color="auto" w:fill="FFFFFF"/>
                <w:lang w:val="en-US" w:eastAsia="zh-CN"/>
              </w:rPr>
              <w:t>衡量</w:t>
            </w:r>
            <w:r>
              <w:rPr>
                <w:rFonts w:hint="eastAsia" w:ascii="仿宋" w:hAnsi="仿宋" w:eastAsia="仿宋" w:cs="仿宋"/>
                <w:color w:val="auto"/>
                <w:sz w:val="21"/>
                <w:szCs w:val="21"/>
                <w:highlight w:val="none"/>
                <w:shd w:val="clear" w:color="auto" w:fill="FFFFFF"/>
              </w:rPr>
              <w:t>成果的影响范围以及该成果被跨行业、跨领域技术颠覆的可能性。</w:t>
            </w:r>
          </w:p>
        </w:tc>
        <w:tc>
          <w:tcPr>
            <w:tcW w:w="2999" w:type="pct"/>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left"/>
              <w:textAlignment w:val="auto"/>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color w:val="auto"/>
                <w:kern w:val="0"/>
                <w:sz w:val="21"/>
                <w:szCs w:val="21"/>
                <w:highlight w:val="none"/>
                <w:lang w:val="en-US" w:eastAsia="zh-CN" w:bidi="ar"/>
              </w:rPr>
              <w:t>4级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76～100分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kern w:val="0"/>
                <w:sz w:val="21"/>
                <w:szCs w:val="21"/>
                <w:highlight w:val="none"/>
                <w:lang w:val="en-US" w:eastAsia="zh-CN" w:bidi="ar"/>
              </w:rPr>
              <w:t>：该成果属于颠覆性技术创新，已检索到处于技术成熟度6～9级。</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left"/>
              <w:textAlignment w:val="auto"/>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color w:val="auto"/>
                <w:kern w:val="0"/>
                <w:sz w:val="21"/>
                <w:szCs w:val="21"/>
                <w:highlight w:val="none"/>
                <w:lang w:val="en-US" w:eastAsia="zh-CN" w:bidi="ar"/>
              </w:rPr>
              <w:t>3级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51～75分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kern w:val="0"/>
                <w:sz w:val="21"/>
                <w:szCs w:val="21"/>
                <w:highlight w:val="none"/>
                <w:lang w:val="en-US" w:eastAsia="zh-CN" w:bidi="ar"/>
              </w:rPr>
              <w:t>：该成果属于颠覆性技术创新，已检索到处于技术成熟度4～6级。</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left"/>
              <w:textAlignment w:val="auto"/>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color w:val="auto"/>
                <w:kern w:val="0"/>
                <w:sz w:val="21"/>
                <w:szCs w:val="21"/>
                <w:highlight w:val="none"/>
                <w:lang w:val="en-US" w:eastAsia="zh-CN" w:bidi="ar"/>
              </w:rPr>
              <w:t>2级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26～50分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kern w:val="0"/>
                <w:sz w:val="21"/>
                <w:szCs w:val="21"/>
                <w:highlight w:val="none"/>
                <w:lang w:val="en-US" w:eastAsia="zh-CN" w:bidi="ar"/>
              </w:rPr>
              <w:t>：该成果属于颠覆性技术创新，已检索到处于技术成熟度1～3级。</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left"/>
              <w:textAlignment w:val="auto"/>
              <w:rPr>
                <w:rFonts w:hint="default" w:ascii="仿宋" w:hAnsi="仿宋" w:eastAsia="仿宋" w:cs="仿宋"/>
                <w:color w:val="auto"/>
                <w:kern w:val="0"/>
                <w:sz w:val="21"/>
                <w:szCs w:val="21"/>
                <w:highlight w:val="none"/>
                <w:lang w:val="en-US" w:eastAsia="zh-CN" w:bidi="ar"/>
              </w:rPr>
            </w:pPr>
            <w:r>
              <w:rPr>
                <w:rFonts w:hint="eastAsia" w:ascii="仿宋" w:hAnsi="仿宋" w:eastAsia="仿宋" w:cs="仿宋"/>
                <w:color w:val="auto"/>
                <w:kern w:val="0"/>
                <w:sz w:val="21"/>
                <w:szCs w:val="21"/>
                <w:highlight w:val="none"/>
                <w:lang w:val="en-US" w:eastAsia="zh-CN" w:bidi="ar"/>
              </w:rPr>
              <w:t>1级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0～25分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kern w:val="0"/>
                <w:sz w:val="21"/>
                <w:szCs w:val="21"/>
                <w:highlight w:val="none"/>
                <w:lang w:val="en-US" w:eastAsia="zh-CN" w:bidi="ar"/>
              </w:rPr>
              <w:t>：该成果不属于颠覆性技术创新。</w:t>
            </w:r>
          </w:p>
        </w:tc>
        <w:tc>
          <w:tcPr>
            <w:tcW w:w="802" w:type="pct"/>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left"/>
              <w:textAlignment w:val="auto"/>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第三方检测报告、论文、专利、用户宣传资料、用户应用（试用）证明、技术标准等。</w:t>
            </w:r>
          </w:p>
        </w:tc>
      </w:tr>
    </w:tbl>
    <w:p>
      <w:pPr>
        <w:rPr>
          <w:rFonts w:hint="default"/>
          <w:lang w:val="en-US" w:eastAsia="zh-CN"/>
        </w:rPr>
      </w:pPr>
      <w:r>
        <w:rPr>
          <w:rFonts w:hint="default"/>
          <w:lang w:val="en-US" w:eastAsia="zh-CN"/>
        </w:rPr>
        <w:br w:type="page"/>
      </w:r>
    </w:p>
    <w:p>
      <w:pPr>
        <w:keepNext w:val="0"/>
        <w:keepLines w:val="0"/>
        <w:pageBreakBefore w:val="0"/>
        <w:widowControl w:val="0"/>
        <w:kinsoku/>
        <w:wordWrap/>
        <w:overflowPunct/>
        <w:topLinePunct w:val="0"/>
        <w:autoSpaceDE/>
        <w:autoSpaceDN/>
        <w:bidi w:val="0"/>
        <w:adjustRightInd/>
        <w:snapToGrid/>
        <w:spacing w:line="576" w:lineRule="exact"/>
        <w:ind w:left="0" w:leftChars="0" w:firstLine="0" w:firstLineChars="0"/>
        <w:textAlignment w:val="auto"/>
        <w:outlineLvl w:val="0"/>
        <w:rPr>
          <w:rStyle w:val="10"/>
          <w:rFonts w:hint="eastAsia"/>
          <w:color w:val="auto"/>
          <w:lang w:val="en-US" w:eastAsia="zh-CN"/>
        </w:rPr>
      </w:pPr>
      <w:r>
        <w:rPr>
          <w:rStyle w:val="10"/>
          <w:rFonts w:hint="eastAsia"/>
          <w:color w:val="auto"/>
          <w:lang w:val="en-US" w:eastAsia="zh-CN"/>
        </w:rPr>
        <w:t>表1-3经济价值评价指标体系</w:t>
      </w:r>
    </w:p>
    <w:tbl>
      <w:tblPr>
        <w:tblStyle w:val="8"/>
        <w:tblpPr w:leftFromText="180" w:rightFromText="180" w:vertAnchor="text" w:horzAnchor="page" w:tblpXSpec="center" w:tblpY="312"/>
        <w:tblOverlap w:val="never"/>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8"/>
        <w:gridCol w:w="1009"/>
        <w:gridCol w:w="1723"/>
        <w:gridCol w:w="8476"/>
        <w:gridCol w:w="2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 w:type="pct"/>
            <w:shd w:val="clear" w:color="auto" w:fill="auto"/>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Fonts w:hint="eastAsia" w:ascii="黑体" w:hAnsi="黑体" w:eastAsia="黑体" w:cs="黑体"/>
                <w:b/>
                <w:bCs/>
                <w:i w:val="0"/>
                <w:caps w:val="0"/>
                <w:color w:val="auto"/>
                <w:spacing w:val="0"/>
                <w:kern w:val="0"/>
                <w:sz w:val="21"/>
                <w:szCs w:val="21"/>
                <w:highlight w:val="none"/>
                <w:shd w:val="clear" w:color="auto" w:fill="FFFFFF"/>
                <w:vertAlign w:val="baseline"/>
                <w:lang w:val="en-US" w:eastAsia="zh-CN" w:bidi="ar"/>
              </w:rPr>
            </w:pPr>
            <w:r>
              <w:rPr>
                <w:rFonts w:hint="eastAsia" w:ascii="黑体" w:hAnsi="黑体" w:eastAsia="黑体" w:cs="黑体"/>
                <w:b/>
                <w:bCs/>
                <w:i w:val="0"/>
                <w:caps w:val="0"/>
                <w:color w:val="auto"/>
                <w:spacing w:val="0"/>
                <w:sz w:val="21"/>
                <w:szCs w:val="21"/>
                <w:highlight w:val="none"/>
                <w:shd w:val="clear" w:color="auto" w:fill="FFFFFF"/>
                <w:vertAlign w:val="baseline"/>
                <w:lang w:val="en-US" w:eastAsia="zh-CN"/>
              </w:rPr>
              <w:t>一级指标</w:t>
            </w:r>
          </w:p>
        </w:tc>
        <w:tc>
          <w:tcPr>
            <w:tcW w:w="356" w:type="pct"/>
            <w:shd w:val="clear" w:color="auto" w:fill="auto"/>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Fonts w:hint="eastAsia" w:ascii="黑体" w:hAnsi="黑体" w:eastAsia="黑体" w:cs="黑体"/>
                <w:b/>
                <w:bCs/>
                <w:i w:val="0"/>
                <w:caps w:val="0"/>
                <w:color w:val="auto"/>
                <w:spacing w:val="0"/>
                <w:kern w:val="0"/>
                <w:sz w:val="21"/>
                <w:szCs w:val="21"/>
                <w:highlight w:val="none"/>
                <w:shd w:val="clear" w:color="auto" w:fill="FFFFFF"/>
                <w:vertAlign w:val="baseline"/>
                <w:lang w:val="en-US" w:eastAsia="zh-CN" w:bidi="ar"/>
              </w:rPr>
            </w:pPr>
            <w:r>
              <w:rPr>
                <w:rFonts w:hint="eastAsia" w:ascii="黑体" w:hAnsi="黑体" w:eastAsia="黑体" w:cs="黑体"/>
                <w:b/>
                <w:bCs/>
                <w:i w:val="0"/>
                <w:caps w:val="0"/>
                <w:color w:val="auto"/>
                <w:spacing w:val="0"/>
                <w:sz w:val="21"/>
                <w:szCs w:val="21"/>
                <w:highlight w:val="none"/>
                <w:shd w:val="clear" w:color="auto" w:fill="FFFFFF"/>
                <w:vertAlign w:val="baseline"/>
                <w:lang w:val="en-US" w:eastAsia="zh-CN"/>
              </w:rPr>
              <w:t>二级指标</w:t>
            </w:r>
          </w:p>
        </w:tc>
        <w:tc>
          <w:tcPr>
            <w:tcW w:w="608" w:type="pct"/>
            <w:shd w:val="clear" w:color="auto" w:fill="auto"/>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Fonts w:hint="eastAsia" w:ascii="黑体" w:hAnsi="黑体" w:eastAsia="黑体" w:cs="黑体"/>
                <w:b/>
                <w:bCs/>
                <w:i w:val="0"/>
                <w:caps w:val="0"/>
                <w:color w:val="auto"/>
                <w:spacing w:val="0"/>
                <w:kern w:val="0"/>
                <w:sz w:val="21"/>
                <w:szCs w:val="21"/>
                <w:highlight w:val="none"/>
                <w:shd w:val="clear" w:color="auto" w:fill="FFFFFF"/>
                <w:vertAlign w:val="baseline"/>
                <w:lang w:val="en-US" w:eastAsia="zh-CN" w:bidi="ar"/>
              </w:rPr>
            </w:pPr>
            <w:r>
              <w:rPr>
                <w:rFonts w:hint="eastAsia" w:ascii="黑体" w:hAnsi="黑体" w:eastAsia="黑体" w:cs="黑体"/>
                <w:b/>
                <w:bCs/>
                <w:i w:val="0"/>
                <w:caps w:val="0"/>
                <w:color w:val="auto"/>
                <w:spacing w:val="0"/>
                <w:sz w:val="21"/>
                <w:szCs w:val="21"/>
                <w:highlight w:val="none"/>
                <w:shd w:val="clear" w:color="auto" w:fill="FFFFFF"/>
                <w:vertAlign w:val="baseline"/>
                <w:lang w:val="en-US" w:eastAsia="zh-CN"/>
              </w:rPr>
              <w:t>指标说明</w:t>
            </w:r>
          </w:p>
        </w:tc>
        <w:tc>
          <w:tcPr>
            <w:tcW w:w="2991" w:type="pct"/>
            <w:shd w:val="clear" w:color="auto" w:fill="auto"/>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Fonts w:hint="eastAsia" w:ascii="黑体" w:hAnsi="黑体" w:eastAsia="黑体" w:cs="黑体"/>
                <w:b/>
                <w:bCs/>
                <w:i w:val="0"/>
                <w:caps w:val="0"/>
                <w:color w:val="auto"/>
                <w:spacing w:val="0"/>
                <w:kern w:val="0"/>
                <w:sz w:val="21"/>
                <w:szCs w:val="21"/>
                <w:highlight w:val="none"/>
                <w:shd w:val="clear" w:color="auto" w:fill="FFFFFF"/>
                <w:vertAlign w:val="baseline"/>
                <w:lang w:val="en-US" w:eastAsia="zh-CN" w:bidi="ar"/>
              </w:rPr>
            </w:pPr>
            <w:r>
              <w:rPr>
                <w:rFonts w:hint="eastAsia" w:ascii="黑体" w:hAnsi="黑体" w:eastAsia="黑体" w:cs="黑体"/>
                <w:b/>
                <w:bCs/>
                <w:i w:val="0"/>
                <w:caps w:val="0"/>
                <w:color w:val="auto"/>
                <w:spacing w:val="0"/>
                <w:sz w:val="21"/>
                <w:szCs w:val="21"/>
                <w:highlight w:val="none"/>
                <w:shd w:val="clear" w:color="auto" w:fill="FFFFFF"/>
                <w:vertAlign w:val="baseline"/>
                <w:lang w:val="en-US" w:eastAsia="zh-CN"/>
              </w:rPr>
              <w:t>评价要点</w:t>
            </w:r>
          </w:p>
        </w:tc>
        <w:tc>
          <w:tcPr>
            <w:tcW w:w="807" w:type="pct"/>
            <w:shd w:val="clear" w:color="auto" w:fill="auto"/>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Fonts w:hint="eastAsia" w:ascii="黑体" w:hAnsi="黑体" w:eastAsia="黑体" w:cs="黑体"/>
                <w:b/>
                <w:bCs/>
                <w:i w:val="0"/>
                <w:caps w:val="0"/>
                <w:color w:val="auto"/>
                <w:spacing w:val="0"/>
                <w:sz w:val="21"/>
                <w:szCs w:val="21"/>
                <w:highlight w:val="none"/>
                <w:shd w:val="clear" w:color="auto" w:fill="FFFFFF"/>
                <w:vertAlign w:val="baseline"/>
                <w:lang w:val="en-US" w:eastAsia="zh-CN"/>
              </w:rPr>
            </w:pPr>
            <w:r>
              <w:rPr>
                <w:rFonts w:hint="eastAsia" w:ascii="黑体" w:hAnsi="黑体" w:eastAsia="黑体" w:cs="黑体"/>
                <w:b/>
                <w:bCs/>
                <w:i w:val="0"/>
                <w:caps w:val="0"/>
                <w:color w:val="auto"/>
                <w:spacing w:val="0"/>
                <w:sz w:val="21"/>
                <w:szCs w:val="21"/>
                <w:highlight w:val="none"/>
                <w:shd w:val="clear" w:color="auto" w:fill="FFFFFF"/>
                <w:vertAlign w:val="baseline"/>
                <w:lang w:val="en-US" w:eastAsia="zh-CN"/>
              </w:rPr>
              <w:t>主要证明材料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 w:type="pct"/>
            <w:vMerge w:val="restart"/>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0" w:firstLineChars="0"/>
              <w:jc w:val="center"/>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C.经济价值</w:t>
            </w:r>
          </w:p>
        </w:tc>
        <w:tc>
          <w:tcPr>
            <w:tcW w:w="356" w:type="pct"/>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0" w:firstLineChars="0"/>
              <w:jc w:val="center"/>
              <w:textAlignment w:val="auto"/>
              <w:rPr>
                <w:rFonts w:hint="default"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C1.转化收益度</w:t>
            </w:r>
          </w:p>
        </w:tc>
        <w:tc>
          <w:tcPr>
            <w:tcW w:w="608" w:type="pct"/>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0" w:firstLineChars="0"/>
              <w:jc w:val="left"/>
              <w:textAlignment w:val="auto"/>
              <w:rPr>
                <w:rFonts w:hint="default"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衡量通过技术合同交易获得的经济收益。</w:t>
            </w:r>
          </w:p>
        </w:tc>
        <w:tc>
          <w:tcPr>
            <w:tcW w:w="2991" w:type="pct"/>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4级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76～100分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：技术合同交易额在同类成果交易中较高。</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3级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51～75分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：技术合同交易额在同类成果交易中一般。</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2级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26～50分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：技术合同交易额在同类成果交易中较低。</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left"/>
              <w:textAlignment w:val="auto"/>
              <w:rPr>
                <w:rFonts w:hint="default"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1级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0～25分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：尚未实现转化。</w:t>
            </w:r>
          </w:p>
        </w:tc>
        <w:tc>
          <w:tcPr>
            <w:tcW w:w="807" w:type="pct"/>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left"/>
              <w:textAlignment w:val="auto"/>
              <w:rPr>
                <w:rFonts w:hint="default"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销售合同或销售发票、税务证明、审计报告、等。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 w:type="pct"/>
            <w:vMerge w:val="continue"/>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0" w:firstLineChars="0"/>
              <w:jc w:val="center"/>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p>
        </w:tc>
        <w:tc>
          <w:tcPr>
            <w:tcW w:w="356" w:type="pct"/>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0" w:firstLineChars="0"/>
              <w:jc w:val="center"/>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b w:val="0"/>
                <w:bCs w:val="0"/>
                <w:i w:val="0"/>
                <w:caps w:val="0"/>
                <w:color w:val="auto"/>
                <w:spacing w:val="0"/>
                <w:sz w:val="21"/>
                <w:szCs w:val="21"/>
                <w:highlight w:val="none"/>
                <w:shd w:val="clear" w:color="auto" w:fill="FFFFFF"/>
                <w:vertAlign w:val="baseline"/>
                <w:lang w:val="en-US" w:eastAsia="zh-CN"/>
              </w:rPr>
              <w:t>C2.市场收益度</w:t>
            </w:r>
          </w:p>
        </w:tc>
        <w:tc>
          <w:tcPr>
            <w:tcW w:w="608" w:type="pct"/>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default"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衡量成果转化为产品进入市场后的经济收益水平。</w:t>
            </w:r>
          </w:p>
        </w:tc>
        <w:tc>
          <w:tcPr>
            <w:tcW w:w="2991" w:type="pct"/>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4级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76～100分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：持续获利，投资回报率、营业收入、净利润、税收等财务指标提升明显。</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3级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51～75分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：销量达到盈亏平衡点或累计净利润实现零的突破。</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2级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26～50分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：有一定的销量，仍低于盈亏平衡点。</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1级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0～25分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：首单合同实现回款，但实现转化收益无法平衡前期投入。</w:t>
            </w:r>
          </w:p>
        </w:tc>
        <w:tc>
          <w:tcPr>
            <w:tcW w:w="807" w:type="pct"/>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销售合同或销售发票、税务证明、审计报告、等、行业协会出具的市场占有率证明。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 w:type="pct"/>
            <w:vMerge w:val="continue"/>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0" w:firstLineChars="0"/>
              <w:jc w:val="center"/>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p>
        </w:tc>
        <w:tc>
          <w:tcPr>
            <w:tcW w:w="356" w:type="pct"/>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0" w:firstLineChars="0"/>
              <w:jc w:val="center"/>
              <w:textAlignment w:val="auto"/>
              <w:rPr>
                <w:rFonts w:hint="default"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C3.预期收益度</w:t>
            </w:r>
          </w:p>
        </w:tc>
        <w:tc>
          <w:tcPr>
            <w:tcW w:w="608" w:type="pct"/>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default"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衡量预期技术合同交易额或成果转化为产品进入市场后的预期经济收益水平。</w:t>
            </w:r>
          </w:p>
        </w:tc>
        <w:tc>
          <w:tcPr>
            <w:tcW w:w="2991" w:type="pct"/>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3级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61～100分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：预期技术合同交易额在同类成果交易中较高；预期成果转化为产品进入市场后可持续获利，投资回报率、营业收入、净利润、税收等财务指标可估算。</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2级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31～60分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：预期技术合同交易额在同类成果交易中一般；预期成果转化为产品进入市场后销量可以达到盈亏平衡点或净利润实现零的突破。</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default"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1级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0～30分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：预期技术合同交易额在同类成果交易中较低；预期成果转化为产品进入市场后有一定销量，但仍低于盈亏平衡点。</w:t>
            </w:r>
          </w:p>
        </w:tc>
        <w:tc>
          <w:tcPr>
            <w:tcW w:w="807" w:type="pct"/>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default"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行业分析报告、市场调查报告、经济形势分析报告等。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 w:type="pct"/>
            <w:vMerge w:val="continue"/>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0" w:firstLineChars="0"/>
              <w:jc w:val="center"/>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p>
        </w:tc>
        <w:tc>
          <w:tcPr>
            <w:tcW w:w="356" w:type="pct"/>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0" w:firstLineChars="0"/>
              <w:jc w:val="center"/>
              <w:textAlignment w:val="auto"/>
              <w:rPr>
                <w:rFonts w:hint="default" w:ascii="仿宋" w:hAnsi="仿宋" w:eastAsia="仿宋" w:cs="仿宋"/>
                <w:b/>
                <w:bCs/>
                <w:i w:val="0"/>
                <w:caps w:val="0"/>
                <w:color w:val="C00000"/>
                <w:spacing w:val="0"/>
                <w:sz w:val="21"/>
                <w:szCs w:val="21"/>
                <w:highlight w:val="none"/>
                <w:shd w:val="clear" w:color="auto" w:fill="FFFFFF"/>
                <w:vertAlign w:val="baseline"/>
                <w:lang w:val="en-US" w:eastAsia="zh-CN"/>
              </w:rPr>
            </w:pPr>
            <w:r>
              <w:rPr>
                <w:rFonts w:hint="eastAsia" w:ascii="仿宋" w:hAnsi="仿宋" w:eastAsia="仿宋" w:cs="仿宋"/>
                <w:b w:val="0"/>
                <w:bCs w:val="0"/>
                <w:i w:val="0"/>
                <w:caps w:val="0"/>
                <w:color w:val="auto"/>
                <w:spacing w:val="0"/>
                <w:sz w:val="21"/>
                <w:szCs w:val="21"/>
                <w:highlight w:val="none"/>
                <w:shd w:val="clear" w:color="auto" w:fill="FFFFFF"/>
                <w:vertAlign w:val="baseline"/>
                <w:lang w:val="en-US" w:eastAsia="zh-CN"/>
              </w:rPr>
              <w:t>C4.市场风险度</w:t>
            </w:r>
          </w:p>
        </w:tc>
        <w:tc>
          <w:tcPr>
            <w:tcW w:w="608" w:type="pct"/>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color w:val="auto"/>
                <w:sz w:val="21"/>
                <w:szCs w:val="21"/>
                <w:highlight w:val="none"/>
                <w:shd w:val="clear" w:color="auto" w:fill="FFFFFF"/>
                <w:lang w:val="en-US" w:eastAsia="zh-CN"/>
              </w:rPr>
              <w:t>衡量</w:t>
            </w:r>
            <w:r>
              <w:rPr>
                <w:rFonts w:hint="eastAsia" w:ascii="仿宋" w:hAnsi="仿宋" w:eastAsia="仿宋" w:cs="仿宋"/>
                <w:color w:val="auto"/>
                <w:sz w:val="21"/>
                <w:szCs w:val="21"/>
                <w:highlight w:val="none"/>
                <w:shd w:val="clear" w:color="auto" w:fill="FFFFFF"/>
              </w:rPr>
              <w:t>成果转化所面临的宏观经济环境、产业链风险及被同行业同类成果替代的程度。</w:t>
            </w:r>
          </w:p>
        </w:tc>
        <w:tc>
          <w:tcPr>
            <w:tcW w:w="2991" w:type="pct"/>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default"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5级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81～100分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：低风险：成果所处技术成熟度不低于9级，所处行业为朝阳产业；权利稳定，侵权容易认定，法律风险容易规避；市场竞争度很低，对外依存度很低。</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default"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4级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61～80分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：较低风险：成果所处技术成熟度低于7级，所处行业为朝阳产业；权利较稳定，侵权较容易认定，法律风险较容易规避；市场竞争度较低，对外依存度较低。</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3级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41～60分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：中等风险：成果所处技术成熟度等级低于5级；所处行业为成熟产业；权利较稳定，侵权较容易认定；法律风险较容易规避；市场竞争度较低；对外依存度较低。</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2级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21～40分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：高风险：成果所处技术成熟度低于3级；所处行业为夕阳产业；权利不够稳定，侵不容易认定，法律风险不容易规避；市场竞争度较高；对外依存度较高。</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1级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0～20分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：极高风险：成果所处技术成熟度低于1级；所处行业为夕阳产业；权利不稳定，侵权难认定，法律风险难规避；市场竞争度高；对外依存度高。</w:t>
            </w:r>
          </w:p>
        </w:tc>
        <w:tc>
          <w:tcPr>
            <w:tcW w:w="807" w:type="pct"/>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default"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行业分析报告、市场调查报告、经济形势分析报告等。</w:t>
            </w:r>
          </w:p>
        </w:tc>
      </w:tr>
    </w:tbl>
    <w:p>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方正小标宋简体" w:hAnsi="方正小标宋简体" w:eastAsia="方正小标宋简体" w:cs="方正小标宋简体"/>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left="0" w:leftChars="0" w:firstLine="0" w:firstLineChars="0"/>
        <w:textAlignment w:val="auto"/>
        <w:outlineLvl w:val="0"/>
        <w:rPr>
          <w:rStyle w:val="10"/>
          <w:rFonts w:hint="eastAsia"/>
          <w:color w:val="auto"/>
          <w:lang w:val="en-US" w:eastAsia="zh-CN"/>
        </w:rPr>
      </w:pPr>
      <w:r>
        <w:rPr>
          <w:rStyle w:val="10"/>
          <w:rFonts w:hint="eastAsia"/>
          <w:color w:val="auto"/>
          <w:lang w:val="en-US" w:eastAsia="zh-CN"/>
        </w:rPr>
        <w:t>表1-4社会价值评价指标体系</w:t>
      </w:r>
    </w:p>
    <w:tbl>
      <w:tblPr>
        <w:tblStyle w:val="8"/>
        <w:tblpPr w:leftFromText="180" w:rightFromText="180" w:vertAnchor="text" w:horzAnchor="page" w:tblpXSpec="center" w:tblpY="312"/>
        <w:tblOverlap w:val="never"/>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1003"/>
        <w:gridCol w:w="1715"/>
        <w:gridCol w:w="8472"/>
        <w:gridCol w:w="2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8" w:type="pct"/>
            <w:shd w:val="clear" w:color="auto" w:fill="auto"/>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Fonts w:hint="eastAsia" w:ascii="黑体" w:hAnsi="黑体" w:eastAsia="黑体" w:cs="黑体"/>
                <w:b/>
                <w:bCs/>
                <w:i w:val="0"/>
                <w:caps w:val="0"/>
                <w:color w:val="auto"/>
                <w:spacing w:val="0"/>
                <w:kern w:val="0"/>
                <w:sz w:val="21"/>
                <w:szCs w:val="21"/>
                <w:highlight w:val="none"/>
                <w:shd w:val="clear" w:color="auto" w:fill="FFFFFF"/>
                <w:vertAlign w:val="baseline"/>
                <w:lang w:val="en-US" w:eastAsia="zh-CN" w:bidi="ar"/>
              </w:rPr>
            </w:pPr>
            <w:r>
              <w:rPr>
                <w:rFonts w:hint="eastAsia" w:ascii="黑体" w:hAnsi="黑体" w:eastAsia="黑体" w:cs="黑体"/>
                <w:b/>
                <w:bCs/>
                <w:i w:val="0"/>
                <w:caps w:val="0"/>
                <w:color w:val="auto"/>
                <w:spacing w:val="0"/>
                <w:sz w:val="21"/>
                <w:szCs w:val="21"/>
                <w:highlight w:val="none"/>
                <w:shd w:val="clear" w:color="auto" w:fill="FFFFFF"/>
                <w:vertAlign w:val="baseline"/>
                <w:lang w:val="en-US" w:eastAsia="zh-CN"/>
              </w:rPr>
              <w:t>一级指标</w:t>
            </w:r>
          </w:p>
        </w:tc>
        <w:tc>
          <w:tcPr>
            <w:tcW w:w="354" w:type="pct"/>
            <w:shd w:val="clear" w:color="auto" w:fill="auto"/>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Fonts w:hint="eastAsia" w:ascii="黑体" w:hAnsi="黑体" w:eastAsia="黑体" w:cs="黑体"/>
                <w:b/>
                <w:bCs/>
                <w:i w:val="0"/>
                <w:caps w:val="0"/>
                <w:color w:val="auto"/>
                <w:spacing w:val="0"/>
                <w:kern w:val="0"/>
                <w:sz w:val="21"/>
                <w:szCs w:val="21"/>
                <w:highlight w:val="none"/>
                <w:shd w:val="clear" w:color="auto" w:fill="FFFFFF"/>
                <w:vertAlign w:val="baseline"/>
                <w:lang w:val="en-US" w:eastAsia="zh-CN" w:bidi="ar"/>
              </w:rPr>
            </w:pPr>
            <w:r>
              <w:rPr>
                <w:rFonts w:hint="eastAsia" w:ascii="黑体" w:hAnsi="黑体" w:eastAsia="黑体" w:cs="黑体"/>
                <w:b/>
                <w:bCs/>
                <w:i w:val="0"/>
                <w:caps w:val="0"/>
                <w:color w:val="auto"/>
                <w:spacing w:val="0"/>
                <w:sz w:val="21"/>
                <w:szCs w:val="21"/>
                <w:highlight w:val="none"/>
                <w:shd w:val="clear" w:color="auto" w:fill="FFFFFF"/>
                <w:vertAlign w:val="baseline"/>
                <w:lang w:val="en-US" w:eastAsia="zh-CN"/>
              </w:rPr>
              <w:t>二级指标</w:t>
            </w:r>
          </w:p>
        </w:tc>
        <w:tc>
          <w:tcPr>
            <w:tcW w:w="605" w:type="pct"/>
            <w:shd w:val="clear" w:color="auto" w:fill="auto"/>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Fonts w:hint="eastAsia" w:ascii="黑体" w:hAnsi="黑体" w:eastAsia="黑体" w:cs="黑体"/>
                <w:b/>
                <w:bCs/>
                <w:i w:val="0"/>
                <w:caps w:val="0"/>
                <w:color w:val="auto"/>
                <w:spacing w:val="0"/>
                <w:kern w:val="0"/>
                <w:sz w:val="21"/>
                <w:szCs w:val="21"/>
                <w:highlight w:val="none"/>
                <w:shd w:val="clear" w:color="auto" w:fill="FFFFFF"/>
                <w:vertAlign w:val="baseline"/>
                <w:lang w:val="en-US" w:eastAsia="zh-CN" w:bidi="ar"/>
              </w:rPr>
            </w:pPr>
            <w:r>
              <w:rPr>
                <w:rFonts w:hint="eastAsia" w:ascii="黑体" w:hAnsi="黑体" w:eastAsia="黑体" w:cs="黑体"/>
                <w:b/>
                <w:bCs/>
                <w:i w:val="0"/>
                <w:caps w:val="0"/>
                <w:color w:val="auto"/>
                <w:spacing w:val="0"/>
                <w:sz w:val="21"/>
                <w:szCs w:val="21"/>
                <w:highlight w:val="none"/>
                <w:shd w:val="clear" w:color="auto" w:fill="FFFFFF"/>
                <w:vertAlign w:val="baseline"/>
                <w:lang w:val="en-US" w:eastAsia="zh-CN"/>
              </w:rPr>
              <w:t>指标说明</w:t>
            </w:r>
          </w:p>
        </w:tc>
        <w:tc>
          <w:tcPr>
            <w:tcW w:w="2989" w:type="pct"/>
            <w:shd w:val="clear" w:color="auto" w:fill="auto"/>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Fonts w:hint="eastAsia" w:ascii="黑体" w:hAnsi="黑体" w:eastAsia="黑体" w:cs="黑体"/>
                <w:b/>
                <w:bCs/>
                <w:i w:val="0"/>
                <w:caps w:val="0"/>
                <w:color w:val="auto"/>
                <w:spacing w:val="0"/>
                <w:kern w:val="0"/>
                <w:sz w:val="21"/>
                <w:szCs w:val="21"/>
                <w:highlight w:val="none"/>
                <w:shd w:val="clear" w:color="auto" w:fill="FFFFFF"/>
                <w:vertAlign w:val="baseline"/>
                <w:lang w:val="en-US" w:eastAsia="zh-CN" w:bidi="ar"/>
              </w:rPr>
            </w:pPr>
            <w:r>
              <w:rPr>
                <w:rFonts w:hint="eastAsia" w:ascii="黑体" w:hAnsi="黑体" w:eastAsia="黑体" w:cs="黑体"/>
                <w:b/>
                <w:bCs/>
                <w:i w:val="0"/>
                <w:caps w:val="0"/>
                <w:color w:val="auto"/>
                <w:spacing w:val="0"/>
                <w:sz w:val="21"/>
                <w:szCs w:val="21"/>
                <w:highlight w:val="none"/>
                <w:shd w:val="clear" w:color="auto" w:fill="FFFFFF"/>
                <w:vertAlign w:val="baseline"/>
                <w:lang w:val="en-US" w:eastAsia="zh-CN"/>
              </w:rPr>
              <w:t>评价要点</w:t>
            </w:r>
          </w:p>
        </w:tc>
        <w:tc>
          <w:tcPr>
            <w:tcW w:w="811" w:type="pct"/>
            <w:shd w:val="clear" w:color="auto" w:fill="auto"/>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Fonts w:hint="eastAsia" w:ascii="黑体" w:hAnsi="黑体" w:eastAsia="黑体" w:cs="黑体"/>
                <w:b/>
                <w:bCs/>
                <w:i w:val="0"/>
                <w:caps w:val="0"/>
                <w:color w:val="auto"/>
                <w:spacing w:val="0"/>
                <w:sz w:val="21"/>
                <w:szCs w:val="21"/>
                <w:highlight w:val="none"/>
                <w:shd w:val="clear" w:color="auto" w:fill="FFFFFF"/>
                <w:vertAlign w:val="baseline"/>
                <w:lang w:val="en-US" w:eastAsia="zh-CN"/>
              </w:rPr>
            </w:pPr>
            <w:r>
              <w:rPr>
                <w:rFonts w:hint="eastAsia" w:ascii="黑体" w:hAnsi="黑体" w:eastAsia="黑体" w:cs="黑体"/>
                <w:b/>
                <w:bCs/>
                <w:i w:val="0"/>
                <w:caps w:val="0"/>
                <w:color w:val="auto"/>
                <w:spacing w:val="0"/>
                <w:sz w:val="21"/>
                <w:szCs w:val="21"/>
                <w:highlight w:val="none"/>
                <w:shd w:val="clear" w:color="auto" w:fill="FFFFFF"/>
                <w:vertAlign w:val="baseline"/>
                <w:lang w:val="en-US" w:eastAsia="zh-CN"/>
              </w:rPr>
              <w:t>主要证明材料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8" w:type="pct"/>
            <w:vMerge w:val="restart"/>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0" w:firstLineChars="0"/>
              <w:jc w:val="center"/>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D.社会价值</w:t>
            </w:r>
          </w:p>
        </w:tc>
        <w:tc>
          <w:tcPr>
            <w:tcW w:w="354" w:type="pct"/>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Fonts w:hint="default"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D1.国家战略支撑度</w:t>
            </w:r>
          </w:p>
        </w:tc>
        <w:tc>
          <w:tcPr>
            <w:tcW w:w="605" w:type="pct"/>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衡量成果应用推广对支撑国家战略规划、保障国家安全、提高国家影响力等方面的作用。</w:t>
            </w:r>
          </w:p>
        </w:tc>
        <w:tc>
          <w:tcPr>
            <w:tcW w:w="2989" w:type="pct"/>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3级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61～100分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：成果推广应用对支撑国家战略、保障国家安全、提高国家影响力的作用显著。</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2级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31～60分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：成果推广应用对支撑国家战略、保障国家安全、提高国家影响力的作用一般。</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1级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0～30分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：成果推广应用对支撑国家战略、保障国家安全、提高国家影响力的作用较小。</w:t>
            </w:r>
          </w:p>
        </w:tc>
        <w:tc>
          <w:tcPr>
            <w:tcW w:w="811" w:type="pct"/>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default"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论文、标准、用户应用（试用）证明、采纳单位出具的证明、案例调查报告等。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8" w:type="pct"/>
            <w:vMerge w:val="continue"/>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0" w:firstLineChars="0"/>
              <w:jc w:val="center"/>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p>
        </w:tc>
        <w:tc>
          <w:tcPr>
            <w:tcW w:w="354" w:type="pct"/>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Fonts w:hint="default"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D2.区域发展贡献度</w:t>
            </w:r>
          </w:p>
        </w:tc>
        <w:tc>
          <w:tcPr>
            <w:tcW w:w="605" w:type="pct"/>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color w:val="auto"/>
                <w:sz w:val="21"/>
                <w:szCs w:val="21"/>
                <w:highlight w:val="none"/>
                <w:shd w:val="clear" w:color="auto" w:fill="FFFFFF"/>
                <w:lang w:val="en-US" w:eastAsia="zh-CN"/>
              </w:rPr>
              <w:t>衡量</w:t>
            </w:r>
            <w:r>
              <w:rPr>
                <w:rFonts w:hint="eastAsia" w:ascii="仿宋" w:hAnsi="仿宋" w:eastAsia="仿宋" w:cs="仿宋"/>
                <w:color w:val="auto"/>
                <w:sz w:val="21"/>
                <w:szCs w:val="21"/>
                <w:highlight w:val="none"/>
                <w:shd w:val="clear" w:color="auto" w:fill="FFFFFF"/>
              </w:rPr>
              <w:t>成果应用推广对</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化解区域发展不平衡、不充分、促进区域协调发展方面、</w:t>
            </w:r>
            <w:r>
              <w:rPr>
                <w:rFonts w:hint="eastAsia" w:ascii="仿宋" w:hAnsi="仿宋" w:eastAsia="仿宋" w:cs="仿宋"/>
                <w:color w:val="auto"/>
                <w:sz w:val="21"/>
                <w:szCs w:val="21"/>
                <w:highlight w:val="none"/>
                <w:shd w:val="clear" w:color="auto" w:fill="FFFFFF"/>
              </w:rPr>
              <w:t>维护社会稳定和公共安全的作用。</w:t>
            </w:r>
          </w:p>
        </w:tc>
        <w:tc>
          <w:tcPr>
            <w:tcW w:w="2989" w:type="pct"/>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default"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3级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61～100分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：成果推广应用在促进区域经济社会高质量发展、维护社会稳定等方面的作用显著。</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2级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31～60分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：成果推广应用在促进区域经济社会高质量发展、维护社会稳定等方面的作用一般。</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default"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1级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0～30分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：成果推广应用在促进区域经济社会高质量发展、维护社会稳定等方面的作用较小。</w:t>
            </w:r>
          </w:p>
        </w:tc>
        <w:tc>
          <w:tcPr>
            <w:tcW w:w="811" w:type="pct"/>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论文、标准、用户应用（试用）证明、采纳单位出具的证明、案例调查报告等。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8" w:type="pct"/>
            <w:vMerge w:val="continue"/>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0" w:firstLineChars="0"/>
              <w:jc w:val="center"/>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p>
        </w:tc>
        <w:tc>
          <w:tcPr>
            <w:tcW w:w="354" w:type="pct"/>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Fonts w:hint="default"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D3.社会民生贡献度</w:t>
            </w:r>
          </w:p>
        </w:tc>
        <w:tc>
          <w:tcPr>
            <w:tcW w:w="605" w:type="pct"/>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color w:val="auto"/>
                <w:sz w:val="21"/>
                <w:szCs w:val="21"/>
                <w:highlight w:val="none"/>
                <w:shd w:val="clear" w:color="auto" w:fill="FFFFFF"/>
                <w:lang w:val="en-US" w:eastAsia="zh-CN"/>
              </w:rPr>
              <w:t>衡量</w:t>
            </w:r>
            <w:r>
              <w:rPr>
                <w:rFonts w:hint="eastAsia" w:ascii="仿宋" w:hAnsi="仿宋" w:eastAsia="仿宋" w:cs="仿宋"/>
                <w:color w:val="auto"/>
                <w:sz w:val="21"/>
                <w:szCs w:val="21"/>
                <w:highlight w:val="none"/>
                <w:shd w:val="clear" w:color="auto" w:fill="FFFFFF"/>
              </w:rPr>
              <w:t>成果应用推广</w:t>
            </w:r>
            <w:r>
              <w:rPr>
                <w:rFonts w:hint="eastAsia" w:ascii="仿宋" w:hAnsi="仿宋" w:eastAsia="仿宋" w:cs="仿宋"/>
                <w:color w:val="auto"/>
                <w:sz w:val="21"/>
                <w:szCs w:val="21"/>
                <w:highlight w:val="none"/>
                <w:shd w:val="clear" w:color="auto" w:fill="FFFFFF"/>
                <w:lang w:val="en-US" w:eastAsia="zh-CN"/>
              </w:rPr>
              <w:t>对</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提升人民物质生活水平、改善人民生活条件和生活质量、提高</w:t>
            </w:r>
            <w:r>
              <w:rPr>
                <w:rFonts w:hint="eastAsia" w:ascii="仿宋" w:hAnsi="仿宋" w:eastAsia="仿宋" w:cs="仿宋"/>
                <w:color w:val="auto"/>
                <w:sz w:val="21"/>
                <w:szCs w:val="21"/>
                <w:highlight w:val="none"/>
                <w:shd w:val="clear" w:color="auto" w:fill="FFFFFF"/>
              </w:rPr>
              <w:t>人民健康</w:t>
            </w:r>
            <w:r>
              <w:rPr>
                <w:rFonts w:hint="eastAsia" w:ascii="仿宋" w:hAnsi="仿宋" w:eastAsia="仿宋" w:cs="仿宋"/>
                <w:color w:val="auto"/>
                <w:sz w:val="21"/>
                <w:szCs w:val="21"/>
                <w:highlight w:val="none"/>
                <w:shd w:val="clear" w:color="auto" w:fill="FFFFFF"/>
                <w:lang w:val="en-US" w:eastAsia="zh-CN"/>
              </w:rPr>
              <w:t>水平</w:t>
            </w:r>
            <w:r>
              <w:rPr>
                <w:rFonts w:hint="eastAsia" w:ascii="仿宋" w:hAnsi="仿宋" w:eastAsia="仿宋" w:cs="仿宋"/>
                <w:color w:val="auto"/>
                <w:sz w:val="21"/>
                <w:szCs w:val="21"/>
                <w:highlight w:val="none"/>
                <w:shd w:val="clear" w:color="auto" w:fill="FFFFFF"/>
              </w:rPr>
              <w:t>的提升程度。</w:t>
            </w:r>
          </w:p>
        </w:tc>
        <w:tc>
          <w:tcPr>
            <w:tcW w:w="2989" w:type="pct"/>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3级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61～100分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：成果应用对提高生态环境质量、改善人民生产生活条件、提高人民健康水平的影响显著。</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2级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31～60分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：成果应用对提高生态环境质量、改善人民生产生活条件、提高人民健康水平的影响一般。</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1级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0～30分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：成果应用对提高生态环境质量、改善人民生产生活条件、提高人民健康水平的影响较小。</w:t>
            </w:r>
          </w:p>
        </w:tc>
        <w:tc>
          <w:tcPr>
            <w:tcW w:w="811" w:type="pct"/>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论文、标准、用户应用（试用）证明、采纳单位出具的证明、案例调查报告等。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8" w:type="pct"/>
            <w:vMerge w:val="continue"/>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0" w:firstLineChars="0"/>
              <w:jc w:val="center"/>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p>
        </w:tc>
        <w:tc>
          <w:tcPr>
            <w:tcW w:w="354" w:type="pct"/>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Fonts w:hint="default"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D4.人才培养贡献度</w:t>
            </w:r>
          </w:p>
        </w:tc>
        <w:tc>
          <w:tcPr>
            <w:tcW w:w="605" w:type="pct"/>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color w:val="auto"/>
                <w:sz w:val="21"/>
                <w:szCs w:val="21"/>
                <w:highlight w:val="none"/>
                <w:shd w:val="clear" w:color="auto" w:fill="FFFFFF"/>
                <w:lang w:val="en-US" w:eastAsia="zh-CN"/>
              </w:rPr>
              <w:t>衡量成果在研究过程中对高层次人才、急需紧缺人才或基层实用人才</w:t>
            </w:r>
            <w:r>
              <w:rPr>
                <w:rFonts w:hint="eastAsia" w:ascii="仿宋" w:hAnsi="仿宋" w:eastAsia="仿宋" w:cs="仿宋"/>
                <w:color w:val="auto"/>
                <w:sz w:val="21"/>
                <w:szCs w:val="21"/>
                <w:highlight w:val="none"/>
                <w:shd w:val="clear" w:color="auto" w:fill="FFFFFF"/>
              </w:rPr>
              <w:t>培养等方面的</w:t>
            </w:r>
            <w:r>
              <w:rPr>
                <w:rFonts w:hint="eastAsia" w:ascii="仿宋" w:hAnsi="仿宋" w:eastAsia="仿宋" w:cs="仿宋"/>
                <w:color w:val="auto"/>
                <w:sz w:val="21"/>
                <w:szCs w:val="21"/>
                <w:highlight w:val="none"/>
                <w:shd w:val="clear" w:color="auto" w:fill="FFFFFF"/>
                <w:lang w:val="en-US" w:eastAsia="zh-CN"/>
              </w:rPr>
              <w:t>成效</w:t>
            </w:r>
            <w:r>
              <w:rPr>
                <w:rFonts w:hint="eastAsia" w:ascii="仿宋" w:hAnsi="仿宋" w:eastAsia="仿宋" w:cs="仿宋"/>
                <w:color w:val="auto"/>
                <w:sz w:val="21"/>
                <w:szCs w:val="21"/>
                <w:highlight w:val="none"/>
                <w:shd w:val="clear" w:color="auto" w:fill="FFFFFF"/>
              </w:rPr>
              <w:t>。</w:t>
            </w:r>
          </w:p>
        </w:tc>
        <w:tc>
          <w:tcPr>
            <w:tcW w:w="2989" w:type="pct"/>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3级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61～100分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：在成果研究与推广过程中，对高层次人才、急需紧缺人才或基层实用人才培养方面的成效显著。</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2级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31～60分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：在成果研究与推广过程中，对高层次人才、急需紧缺人才或基层实用人才培养方面的成效较大。</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1级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0～30分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：在成果研究与推广过程中，在高层次人才、急需紧缺人才或基层实用人才培养方面的成效一般。</w:t>
            </w:r>
          </w:p>
        </w:tc>
        <w:tc>
          <w:tcPr>
            <w:tcW w:w="811" w:type="pct"/>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用户应用（试用）证明、学历证书、职称证书等。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8" w:type="pct"/>
            <w:vMerge w:val="continue"/>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0" w:firstLineChars="0"/>
              <w:jc w:val="center"/>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p>
        </w:tc>
        <w:tc>
          <w:tcPr>
            <w:tcW w:w="354" w:type="pct"/>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0" w:firstLineChars="0"/>
              <w:jc w:val="center"/>
              <w:textAlignment w:val="auto"/>
              <w:rPr>
                <w:rFonts w:hint="default"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D5.科学普及贡献度</w:t>
            </w:r>
          </w:p>
        </w:tc>
        <w:tc>
          <w:tcPr>
            <w:tcW w:w="605" w:type="pct"/>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default"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color w:val="auto"/>
                <w:sz w:val="21"/>
                <w:szCs w:val="21"/>
                <w:highlight w:val="none"/>
                <w:shd w:val="clear" w:color="auto" w:fill="FFFFFF"/>
                <w:lang w:val="en-US" w:eastAsia="zh-CN"/>
              </w:rPr>
              <w:t>衡量成果应用推广的科普宣传及提升全面素质的作用。</w:t>
            </w:r>
          </w:p>
        </w:tc>
        <w:tc>
          <w:tcPr>
            <w:tcW w:w="2989" w:type="pct"/>
            <w:noWrap w:val="0"/>
            <w:vAlign w:val="center"/>
          </w:tcPr>
          <w:p>
            <w:pPr>
              <w:pStyle w:val="6"/>
              <w:keepNext w:val="0"/>
              <w:keepLines w:val="0"/>
              <w:pageBreakBefore w:val="0"/>
              <w:widowControl/>
              <w:numPr>
                <w:ilvl w:val="0"/>
                <w:numId w:val="0"/>
              </w:numPr>
              <w:suppressLineNumbers w:val="0"/>
              <w:tabs>
                <w:tab w:val="left" w:pos="770"/>
              </w:tabs>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3级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61～100分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：成果科普宣传推广活动参与人数多、惠及范围大，对提升受众受众科学认知和科学素质的作用显著。</w:t>
            </w:r>
          </w:p>
          <w:p>
            <w:pPr>
              <w:pStyle w:val="6"/>
              <w:keepNext w:val="0"/>
              <w:keepLines w:val="0"/>
              <w:pageBreakBefore w:val="0"/>
              <w:widowControl/>
              <w:numPr>
                <w:ilvl w:val="0"/>
                <w:numId w:val="0"/>
              </w:numPr>
              <w:suppressLineNumbers w:val="0"/>
              <w:tabs>
                <w:tab w:val="left" w:pos="770"/>
              </w:tabs>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2级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31～60分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：成果科普宣传推广活动参与人数较多、惠及范围较大，一定程度上有助于提升受众科学认知和科学素质。</w:t>
            </w:r>
          </w:p>
          <w:p>
            <w:pPr>
              <w:pStyle w:val="6"/>
              <w:keepNext w:val="0"/>
              <w:keepLines w:val="0"/>
              <w:pageBreakBefore w:val="0"/>
              <w:widowControl/>
              <w:numPr>
                <w:ilvl w:val="0"/>
                <w:numId w:val="0"/>
              </w:numPr>
              <w:suppressLineNumbers w:val="0"/>
              <w:tabs>
                <w:tab w:val="left" w:pos="770"/>
              </w:tabs>
              <w:kinsoku/>
              <w:wordWrap/>
              <w:overflowPunct/>
              <w:topLinePunct w:val="0"/>
              <w:autoSpaceDE/>
              <w:autoSpaceDN/>
              <w:bidi w:val="0"/>
              <w:adjustRightInd/>
              <w:snapToGrid/>
              <w:spacing w:before="0" w:beforeAutospacing="0" w:after="0" w:afterAutospacing="0" w:line="300" w:lineRule="exact"/>
              <w:ind w:left="210" w:leftChars="0" w:right="0" w:rightChars="0" w:hanging="210" w:hangingChars="10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1级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0～30分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：成果科普宣传推广活动参与人数较少、惠及范围有限。</w:t>
            </w:r>
          </w:p>
        </w:tc>
        <w:tc>
          <w:tcPr>
            <w:tcW w:w="811" w:type="pct"/>
            <w:noWrap w:val="0"/>
            <w:vAlign w:val="center"/>
          </w:tcPr>
          <w:p>
            <w:pPr>
              <w:pStyle w:val="6"/>
              <w:keepNext w:val="0"/>
              <w:keepLines w:val="0"/>
              <w:pageBreakBefore w:val="0"/>
              <w:widowControl/>
              <w:numPr>
                <w:ilvl w:val="0"/>
                <w:numId w:val="0"/>
              </w:numPr>
              <w:suppressLineNumbers w:val="0"/>
              <w:tabs>
                <w:tab w:val="left" w:pos="770"/>
              </w:tabs>
              <w:kinsoku/>
              <w:wordWrap/>
              <w:overflowPunct/>
              <w:topLinePunct w:val="0"/>
              <w:autoSpaceDE/>
              <w:autoSpaceDN/>
              <w:bidi w:val="0"/>
              <w:adjustRightInd/>
              <w:snapToGrid/>
              <w:spacing w:before="0" w:beforeAutospacing="0" w:after="0" w:afterAutospacing="0" w:line="300" w:lineRule="exact"/>
              <w:ind w:left="0" w:leftChars="0" w:right="0" w:rightChars="0" w:hanging="10" w:firstLineChars="0"/>
              <w:jc w:val="left"/>
              <w:textAlignment w:val="auto"/>
              <w:rPr>
                <w:rFonts w:hint="default"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研究报告、媒体报道、科普工作总结等。</w:t>
            </w:r>
          </w:p>
        </w:tc>
      </w:tr>
    </w:tbl>
    <w:p>
      <w:pPr>
        <w:rPr>
          <w:rFonts w:hint="default"/>
          <w:lang w:val="en-US" w:eastAsia="zh-CN"/>
        </w:rPr>
      </w:pPr>
      <w:r>
        <w:rPr>
          <w:rFonts w:hint="default"/>
          <w:lang w:val="en-US" w:eastAsia="zh-CN"/>
        </w:rPr>
        <w:br w:type="page"/>
      </w:r>
    </w:p>
    <w:p>
      <w:pPr>
        <w:keepNext w:val="0"/>
        <w:keepLines w:val="0"/>
        <w:pageBreakBefore w:val="0"/>
        <w:widowControl w:val="0"/>
        <w:kinsoku/>
        <w:wordWrap/>
        <w:overflowPunct/>
        <w:topLinePunct w:val="0"/>
        <w:autoSpaceDE/>
        <w:autoSpaceDN/>
        <w:bidi w:val="0"/>
        <w:adjustRightInd/>
        <w:snapToGrid/>
        <w:spacing w:line="576" w:lineRule="exact"/>
        <w:ind w:left="0" w:leftChars="0" w:firstLine="0" w:firstLineChars="0"/>
        <w:textAlignment w:val="auto"/>
        <w:outlineLvl w:val="0"/>
        <w:rPr>
          <w:rStyle w:val="10"/>
          <w:rFonts w:hint="eastAsia"/>
          <w:color w:val="auto"/>
          <w:lang w:val="en-US" w:eastAsia="zh-CN"/>
        </w:rPr>
      </w:pPr>
      <w:r>
        <w:rPr>
          <w:rStyle w:val="10"/>
          <w:rFonts w:hint="eastAsia"/>
          <w:color w:val="auto"/>
          <w:lang w:val="en-US" w:eastAsia="zh-CN"/>
        </w:rPr>
        <w:t>表1-5文化价值评价指标体系</w:t>
      </w:r>
    </w:p>
    <w:tbl>
      <w:tblPr>
        <w:tblStyle w:val="8"/>
        <w:tblpPr w:leftFromText="180" w:rightFromText="180" w:vertAnchor="text" w:horzAnchor="page" w:tblpXSpec="center" w:tblpY="312"/>
        <w:tblOverlap w:val="never"/>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1"/>
        <w:gridCol w:w="1018"/>
        <w:gridCol w:w="1715"/>
        <w:gridCol w:w="8486"/>
        <w:gridCol w:w="22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 w:type="pct"/>
            <w:shd w:val="clear" w:color="auto" w:fill="auto"/>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Fonts w:hint="eastAsia" w:ascii="黑体" w:hAnsi="黑体" w:eastAsia="黑体" w:cs="黑体"/>
                <w:b/>
                <w:bCs/>
                <w:i w:val="0"/>
                <w:caps w:val="0"/>
                <w:color w:val="auto"/>
                <w:spacing w:val="0"/>
                <w:kern w:val="0"/>
                <w:sz w:val="21"/>
                <w:szCs w:val="21"/>
                <w:highlight w:val="none"/>
                <w:shd w:val="clear" w:color="auto" w:fill="FFFFFF"/>
                <w:vertAlign w:val="baseline"/>
                <w:lang w:val="en-US" w:eastAsia="zh-CN" w:bidi="ar"/>
              </w:rPr>
            </w:pPr>
            <w:r>
              <w:rPr>
                <w:rFonts w:hint="eastAsia" w:ascii="黑体" w:hAnsi="黑体" w:eastAsia="黑体" w:cs="黑体"/>
                <w:b/>
                <w:bCs/>
                <w:i w:val="0"/>
                <w:caps w:val="0"/>
                <w:color w:val="auto"/>
                <w:spacing w:val="0"/>
                <w:sz w:val="21"/>
                <w:szCs w:val="21"/>
                <w:highlight w:val="none"/>
                <w:shd w:val="clear" w:color="auto" w:fill="FFFFFF"/>
                <w:vertAlign w:val="baseline"/>
                <w:lang w:val="en-US" w:eastAsia="zh-CN"/>
              </w:rPr>
              <w:t>一级指标</w:t>
            </w:r>
          </w:p>
        </w:tc>
        <w:tc>
          <w:tcPr>
            <w:tcW w:w="359" w:type="pct"/>
            <w:shd w:val="clear" w:color="auto" w:fill="auto"/>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Fonts w:hint="eastAsia" w:ascii="黑体" w:hAnsi="黑体" w:eastAsia="黑体" w:cs="黑体"/>
                <w:b/>
                <w:bCs/>
                <w:i w:val="0"/>
                <w:caps w:val="0"/>
                <w:color w:val="auto"/>
                <w:spacing w:val="0"/>
                <w:kern w:val="0"/>
                <w:sz w:val="21"/>
                <w:szCs w:val="21"/>
                <w:highlight w:val="none"/>
                <w:shd w:val="clear" w:color="auto" w:fill="FFFFFF"/>
                <w:vertAlign w:val="baseline"/>
                <w:lang w:val="en-US" w:eastAsia="zh-CN" w:bidi="ar"/>
              </w:rPr>
            </w:pPr>
            <w:r>
              <w:rPr>
                <w:rFonts w:hint="eastAsia" w:ascii="黑体" w:hAnsi="黑体" w:eastAsia="黑体" w:cs="黑体"/>
                <w:b/>
                <w:bCs/>
                <w:i w:val="0"/>
                <w:caps w:val="0"/>
                <w:color w:val="auto"/>
                <w:spacing w:val="0"/>
                <w:sz w:val="21"/>
                <w:szCs w:val="21"/>
                <w:highlight w:val="none"/>
                <w:shd w:val="clear" w:color="auto" w:fill="FFFFFF"/>
                <w:vertAlign w:val="baseline"/>
                <w:lang w:val="en-US" w:eastAsia="zh-CN"/>
              </w:rPr>
              <w:t>二级指标</w:t>
            </w:r>
          </w:p>
        </w:tc>
        <w:tc>
          <w:tcPr>
            <w:tcW w:w="605" w:type="pct"/>
            <w:shd w:val="clear" w:color="auto" w:fill="auto"/>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Fonts w:hint="eastAsia" w:ascii="黑体" w:hAnsi="黑体" w:eastAsia="黑体" w:cs="黑体"/>
                <w:b/>
                <w:bCs/>
                <w:i w:val="0"/>
                <w:caps w:val="0"/>
                <w:color w:val="auto"/>
                <w:spacing w:val="0"/>
                <w:kern w:val="0"/>
                <w:sz w:val="21"/>
                <w:szCs w:val="21"/>
                <w:highlight w:val="none"/>
                <w:shd w:val="clear" w:color="auto" w:fill="FFFFFF"/>
                <w:vertAlign w:val="baseline"/>
                <w:lang w:val="en-US" w:eastAsia="zh-CN" w:bidi="ar"/>
              </w:rPr>
            </w:pPr>
            <w:r>
              <w:rPr>
                <w:rFonts w:hint="eastAsia" w:ascii="黑体" w:hAnsi="黑体" w:eastAsia="黑体" w:cs="黑体"/>
                <w:b/>
                <w:bCs/>
                <w:i w:val="0"/>
                <w:caps w:val="0"/>
                <w:color w:val="auto"/>
                <w:spacing w:val="0"/>
                <w:sz w:val="21"/>
                <w:szCs w:val="21"/>
                <w:highlight w:val="none"/>
                <w:shd w:val="clear" w:color="auto" w:fill="FFFFFF"/>
                <w:vertAlign w:val="baseline"/>
                <w:lang w:val="en-US" w:eastAsia="zh-CN"/>
              </w:rPr>
              <w:t>指标说明</w:t>
            </w:r>
          </w:p>
        </w:tc>
        <w:tc>
          <w:tcPr>
            <w:tcW w:w="2994" w:type="pct"/>
            <w:shd w:val="clear" w:color="auto" w:fill="auto"/>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Fonts w:hint="eastAsia" w:ascii="黑体" w:hAnsi="黑体" w:eastAsia="黑体" w:cs="黑体"/>
                <w:b/>
                <w:bCs/>
                <w:i w:val="0"/>
                <w:caps w:val="0"/>
                <w:color w:val="auto"/>
                <w:spacing w:val="0"/>
                <w:kern w:val="0"/>
                <w:sz w:val="21"/>
                <w:szCs w:val="21"/>
                <w:highlight w:val="none"/>
                <w:shd w:val="clear" w:color="auto" w:fill="FFFFFF"/>
                <w:vertAlign w:val="baseline"/>
                <w:lang w:val="en-US" w:eastAsia="zh-CN" w:bidi="ar"/>
              </w:rPr>
            </w:pPr>
            <w:r>
              <w:rPr>
                <w:rFonts w:hint="eastAsia" w:ascii="黑体" w:hAnsi="黑体" w:eastAsia="黑体" w:cs="黑体"/>
                <w:b/>
                <w:bCs/>
                <w:i w:val="0"/>
                <w:caps w:val="0"/>
                <w:color w:val="auto"/>
                <w:spacing w:val="0"/>
                <w:sz w:val="21"/>
                <w:szCs w:val="21"/>
                <w:highlight w:val="none"/>
                <w:shd w:val="clear" w:color="auto" w:fill="FFFFFF"/>
                <w:vertAlign w:val="baseline"/>
                <w:lang w:val="en-US" w:eastAsia="zh-CN"/>
              </w:rPr>
              <w:t>评价要点</w:t>
            </w:r>
          </w:p>
        </w:tc>
        <w:tc>
          <w:tcPr>
            <w:tcW w:w="802" w:type="pct"/>
            <w:shd w:val="clear" w:color="auto" w:fill="auto"/>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Fonts w:hint="eastAsia" w:ascii="黑体" w:hAnsi="黑体" w:eastAsia="黑体" w:cs="黑体"/>
                <w:b/>
                <w:bCs/>
                <w:i w:val="0"/>
                <w:caps w:val="0"/>
                <w:color w:val="auto"/>
                <w:spacing w:val="0"/>
                <w:sz w:val="21"/>
                <w:szCs w:val="21"/>
                <w:highlight w:val="none"/>
                <w:shd w:val="clear" w:color="auto" w:fill="FFFFFF"/>
                <w:vertAlign w:val="baseline"/>
                <w:lang w:val="en-US" w:eastAsia="zh-CN"/>
              </w:rPr>
            </w:pPr>
            <w:r>
              <w:rPr>
                <w:rFonts w:hint="eastAsia" w:ascii="黑体" w:hAnsi="黑体" w:eastAsia="黑体" w:cs="黑体"/>
                <w:b/>
                <w:bCs/>
                <w:i w:val="0"/>
                <w:caps w:val="0"/>
                <w:color w:val="auto"/>
                <w:spacing w:val="0"/>
                <w:sz w:val="21"/>
                <w:szCs w:val="21"/>
                <w:highlight w:val="none"/>
                <w:shd w:val="clear" w:color="auto" w:fill="FFFFFF"/>
                <w:vertAlign w:val="baseline"/>
                <w:lang w:val="en-US" w:eastAsia="zh-CN"/>
              </w:rPr>
              <w:t>主要证明材料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 w:type="pct"/>
            <w:vMerge w:val="restart"/>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0" w:firstLineChars="0"/>
              <w:jc w:val="center"/>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E.文化价值</w:t>
            </w:r>
          </w:p>
        </w:tc>
        <w:tc>
          <w:tcPr>
            <w:tcW w:w="359" w:type="pct"/>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0" w:firstLineChars="0"/>
              <w:jc w:val="center"/>
              <w:textAlignment w:val="auto"/>
              <w:rPr>
                <w:rFonts w:hint="default"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E1.活力激发贡献度</w:t>
            </w:r>
          </w:p>
        </w:tc>
        <w:tc>
          <w:tcPr>
            <w:tcW w:w="605" w:type="pct"/>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color w:val="auto"/>
                <w:sz w:val="21"/>
                <w:szCs w:val="21"/>
                <w:highlight w:val="none"/>
                <w:shd w:val="clear" w:color="auto" w:fill="FFFFFF"/>
                <w:lang w:val="en-US" w:eastAsia="zh-CN"/>
              </w:rPr>
              <w:t>衡量</w:t>
            </w:r>
            <w:r>
              <w:rPr>
                <w:rFonts w:hint="eastAsia" w:ascii="仿宋" w:hAnsi="仿宋" w:eastAsia="仿宋" w:cs="仿宋"/>
                <w:color w:val="auto"/>
                <w:sz w:val="21"/>
                <w:szCs w:val="21"/>
                <w:highlight w:val="none"/>
                <w:shd w:val="clear" w:color="auto" w:fill="FFFFFF"/>
              </w:rPr>
              <w:t>成果</w:t>
            </w:r>
            <w:r>
              <w:rPr>
                <w:rFonts w:hint="eastAsia" w:ascii="仿宋" w:hAnsi="仿宋" w:eastAsia="仿宋" w:cs="仿宋"/>
                <w:color w:val="auto"/>
                <w:sz w:val="21"/>
                <w:szCs w:val="21"/>
                <w:highlight w:val="none"/>
                <w:shd w:val="clear" w:color="auto" w:fill="FFFFFF"/>
                <w:lang w:val="en-US" w:eastAsia="zh-CN"/>
              </w:rPr>
              <w:t>应用推广对倡导科学家精神和工匠精神、激发创新活力等方面的作用</w:t>
            </w:r>
            <w:r>
              <w:rPr>
                <w:rFonts w:hint="eastAsia" w:ascii="仿宋" w:hAnsi="仿宋" w:eastAsia="仿宋" w:cs="仿宋"/>
                <w:color w:val="auto"/>
                <w:sz w:val="21"/>
                <w:szCs w:val="21"/>
                <w:highlight w:val="none"/>
                <w:shd w:val="clear" w:color="auto" w:fill="FFFFFF"/>
              </w:rPr>
              <w:t>。</w:t>
            </w:r>
          </w:p>
        </w:tc>
        <w:tc>
          <w:tcPr>
            <w:tcW w:w="2994" w:type="pct"/>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3级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61～100分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：成果应用推广及宣传对倡导科学家精神、工匠精神，激发创新活力，提升产出成果的质量、数量及影响力效果显著。</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2级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31～60分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：成果应用推广及宣传对倡导科学家精神、工匠精神，激发创新活力、提升产出成果的质量有一定效果。</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default"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1级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0～30分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：成果应用推广及宣传对倡导科学家精神、工匠精神，激发创新活力以及增加优质成果产出的效果不显著</w:t>
            </w:r>
          </w:p>
        </w:tc>
        <w:tc>
          <w:tcPr>
            <w:tcW w:w="802" w:type="pct"/>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default"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论文、用户应用（试用）证明、采纳单位出具的证明、调查报告、媒体报道等。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 w:type="pct"/>
            <w:vMerge w:val="continue"/>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0" w:firstLineChars="0"/>
              <w:jc w:val="center"/>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p>
        </w:tc>
        <w:tc>
          <w:tcPr>
            <w:tcW w:w="359" w:type="pct"/>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0" w:firstLineChars="0"/>
              <w:jc w:val="center"/>
              <w:textAlignment w:val="auto"/>
              <w:rPr>
                <w:rFonts w:hint="default"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E2.素养提升贡献度</w:t>
            </w:r>
          </w:p>
        </w:tc>
        <w:tc>
          <w:tcPr>
            <w:tcW w:w="605" w:type="pct"/>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color w:val="auto"/>
                <w:sz w:val="21"/>
                <w:szCs w:val="21"/>
                <w:highlight w:val="none"/>
                <w:shd w:val="clear" w:color="auto" w:fill="FFFFFF"/>
                <w:lang w:val="en-US" w:eastAsia="zh-CN"/>
              </w:rPr>
              <w:t>衡量</w:t>
            </w:r>
            <w:r>
              <w:rPr>
                <w:rFonts w:hint="eastAsia" w:ascii="仿宋" w:hAnsi="仿宋" w:eastAsia="仿宋" w:cs="仿宋"/>
                <w:color w:val="auto"/>
                <w:sz w:val="21"/>
                <w:szCs w:val="21"/>
                <w:highlight w:val="none"/>
                <w:shd w:val="clear" w:color="auto" w:fill="FFFFFF"/>
              </w:rPr>
              <w:t>成果应用推广对科学素养</w:t>
            </w:r>
            <w:r>
              <w:rPr>
                <w:rFonts w:hint="eastAsia" w:ascii="仿宋" w:hAnsi="仿宋" w:eastAsia="仿宋" w:cs="仿宋"/>
                <w:color w:val="auto"/>
                <w:sz w:val="21"/>
                <w:szCs w:val="21"/>
                <w:highlight w:val="none"/>
                <w:shd w:val="clear" w:color="auto" w:fill="FFFFFF"/>
                <w:lang w:val="en-US" w:eastAsia="zh-CN"/>
              </w:rPr>
              <w:t>提高和良好社会风气形成的作用。</w:t>
            </w:r>
          </w:p>
        </w:tc>
        <w:tc>
          <w:tcPr>
            <w:tcW w:w="2994" w:type="pct"/>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3级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61～100分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：成果应用推广及宣传对于在全社会消除社会疑虑、提升全民素养、改变不良习惯、形成良好社会风气的效果显著。</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2级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31～60分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：成果应用推广及宣传对于在一定范围内消除社会疑虑、提升全民素养、改变不良习惯、形成良好社会风气有一定效果。</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1级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0～30分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：成果应用推广及宣传对于消除社会疑虑、提升全民素养、改变不良习惯、形成良好社会风气的效果不显著。</w:t>
            </w:r>
          </w:p>
        </w:tc>
        <w:tc>
          <w:tcPr>
            <w:tcW w:w="802" w:type="pct"/>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论文、用户应用（试用）证明、采纳单位出具的证明、调查报告、媒体报道等。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7" w:type="pct"/>
            <w:vMerge w:val="continue"/>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0" w:firstLineChars="0"/>
              <w:jc w:val="center"/>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p>
        </w:tc>
        <w:tc>
          <w:tcPr>
            <w:tcW w:w="359" w:type="pct"/>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0" w:firstLineChars="0"/>
              <w:jc w:val="center"/>
              <w:textAlignment w:val="auto"/>
              <w:rPr>
                <w:rFonts w:hint="default"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E3.文化自信贡献度</w:t>
            </w:r>
          </w:p>
        </w:tc>
        <w:tc>
          <w:tcPr>
            <w:tcW w:w="605" w:type="pct"/>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color w:val="auto"/>
                <w:sz w:val="21"/>
                <w:szCs w:val="21"/>
                <w:highlight w:val="none"/>
                <w:shd w:val="clear" w:color="auto" w:fill="FFFFFF"/>
                <w:lang w:val="en-US" w:eastAsia="zh-CN"/>
              </w:rPr>
              <w:t>衡量成果应用推广对</w:t>
            </w:r>
            <w:r>
              <w:rPr>
                <w:rFonts w:hint="eastAsia" w:ascii="仿宋" w:hAnsi="仿宋" w:eastAsia="仿宋" w:cs="仿宋"/>
                <w:color w:val="auto"/>
                <w:sz w:val="21"/>
                <w:szCs w:val="21"/>
                <w:highlight w:val="none"/>
                <w:shd w:val="clear" w:color="auto" w:fill="FFFFFF"/>
              </w:rPr>
              <w:t>提升文化自信、</w:t>
            </w:r>
            <w:r>
              <w:rPr>
                <w:rFonts w:hint="eastAsia" w:ascii="仿宋" w:hAnsi="仿宋" w:eastAsia="仿宋" w:cs="仿宋"/>
                <w:color w:val="auto"/>
                <w:sz w:val="21"/>
                <w:szCs w:val="21"/>
                <w:highlight w:val="none"/>
                <w:shd w:val="clear" w:color="auto" w:fill="FFFFFF"/>
                <w:lang w:val="en-US" w:eastAsia="zh-CN"/>
              </w:rPr>
              <w:t>营造良好文化环境方面</w:t>
            </w:r>
            <w:r>
              <w:rPr>
                <w:rFonts w:hint="eastAsia" w:ascii="仿宋" w:hAnsi="仿宋" w:eastAsia="仿宋" w:cs="仿宋"/>
                <w:color w:val="auto"/>
                <w:sz w:val="21"/>
                <w:szCs w:val="21"/>
                <w:highlight w:val="none"/>
                <w:shd w:val="clear" w:color="auto" w:fill="FFFFFF"/>
              </w:rPr>
              <w:t>的影响。</w:t>
            </w:r>
          </w:p>
        </w:tc>
        <w:tc>
          <w:tcPr>
            <w:tcW w:w="2994" w:type="pct"/>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3级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61～100分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：成果应用推广及宣传与社会文化有关联密切，推动了全社会文明发展及全民自信度提升。</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2级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31～60分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：成果应用推广及宣传与社会文化有一定关联，推动了行业或区域文化发展及自信度提升。</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1级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0～30分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：成果应用推广及宣传与社会文化的关联度较低，仅能推动本单位文化发展及自信度提升。</w:t>
            </w:r>
          </w:p>
        </w:tc>
        <w:tc>
          <w:tcPr>
            <w:tcW w:w="802" w:type="pct"/>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论文、用户应用（试用）证明、采纳单位出具的证明、调查报告、媒体报道等。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 w:type="pct"/>
            <w:vMerge w:val="continue"/>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0" w:firstLineChars="0"/>
              <w:jc w:val="center"/>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p>
        </w:tc>
        <w:tc>
          <w:tcPr>
            <w:tcW w:w="359" w:type="pct"/>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0" w:firstLineChars="0"/>
              <w:jc w:val="center"/>
              <w:textAlignment w:val="auto"/>
              <w:rPr>
                <w:rFonts w:hint="default"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E4.观念更新贡献度</w:t>
            </w:r>
          </w:p>
        </w:tc>
        <w:tc>
          <w:tcPr>
            <w:tcW w:w="605" w:type="pct"/>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color w:val="auto"/>
                <w:sz w:val="21"/>
                <w:szCs w:val="21"/>
                <w:highlight w:val="none"/>
                <w:shd w:val="clear" w:color="auto" w:fill="FFFFFF"/>
                <w:lang w:val="en-US" w:eastAsia="zh-CN"/>
              </w:rPr>
              <w:t>衡量</w:t>
            </w:r>
            <w:r>
              <w:rPr>
                <w:rFonts w:hint="eastAsia" w:ascii="仿宋" w:hAnsi="仿宋" w:eastAsia="仿宋" w:cs="仿宋"/>
                <w:color w:val="auto"/>
                <w:sz w:val="21"/>
                <w:szCs w:val="21"/>
                <w:highlight w:val="none"/>
                <w:shd w:val="clear" w:color="auto" w:fill="FFFFFF"/>
              </w:rPr>
              <w:t>成果应用推广对引领科技伦理和科研诚信体系建设</w:t>
            </w:r>
            <w:r>
              <w:rPr>
                <w:rFonts w:hint="eastAsia" w:ascii="仿宋" w:hAnsi="仿宋" w:eastAsia="仿宋" w:cs="仿宋"/>
                <w:color w:val="auto"/>
                <w:sz w:val="21"/>
                <w:szCs w:val="21"/>
                <w:highlight w:val="none"/>
                <w:shd w:val="clear" w:color="auto" w:fill="FFFFFF"/>
                <w:lang w:val="en-US" w:eastAsia="zh-CN"/>
              </w:rPr>
              <w:t>等方面</w:t>
            </w:r>
            <w:r>
              <w:rPr>
                <w:rFonts w:hint="eastAsia" w:ascii="仿宋" w:hAnsi="仿宋" w:eastAsia="仿宋" w:cs="仿宋"/>
                <w:color w:val="auto"/>
                <w:sz w:val="21"/>
                <w:szCs w:val="21"/>
                <w:highlight w:val="none"/>
                <w:shd w:val="clear" w:color="auto" w:fill="FFFFFF"/>
              </w:rPr>
              <w:t>的作用</w:t>
            </w:r>
            <w:r>
              <w:rPr>
                <w:rFonts w:hint="eastAsia" w:ascii="仿宋" w:hAnsi="仿宋" w:eastAsia="仿宋" w:cs="仿宋"/>
                <w:color w:val="auto"/>
                <w:sz w:val="21"/>
                <w:szCs w:val="21"/>
                <w:highlight w:val="none"/>
                <w:shd w:val="clear" w:color="auto" w:fill="FFFFFF"/>
                <w:lang w:eastAsia="zh-CN"/>
              </w:rPr>
              <w:t>。</w:t>
            </w:r>
          </w:p>
        </w:tc>
        <w:tc>
          <w:tcPr>
            <w:tcW w:w="2994" w:type="pct"/>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3级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61～100分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：成果应用推广及宣传对引领科技伦理和科研诚信体系建设、构建良好创新环境效果显著，产生较大影响。</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2级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31～60分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：成果应用推广及宣传对引领科技伦理和科研诚信体系建设、构建良好创新环境有一定效果，具有典型示例或产生一定示范效应。</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1级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0～30分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：成果应用推广及宣传对引领科技伦理和科研诚信体系建设、构建良好创新环境的效果不明显。</w:t>
            </w:r>
          </w:p>
        </w:tc>
        <w:tc>
          <w:tcPr>
            <w:tcW w:w="802" w:type="pct"/>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论文、用户应用（试用）证明、采纳单位出具的证明、调查报告、媒体报道等。</w:t>
            </w:r>
          </w:p>
        </w:tc>
      </w:tr>
    </w:tbl>
    <w:p>
      <w:pPr>
        <w:rPr>
          <w:rFonts w:hint="default"/>
          <w:lang w:val="en-US" w:eastAsia="zh-CN"/>
        </w:rPr>
      </w:pPr>
      <w:r>
        <w:rPr>
          <w:rFonts w:hint="default"/>
          <w:lang w:val="en-US" w:eastAsia="zh-CN"/>
        </w:rPr>
        <w:br w:type="page"/>
      </w:r>
    </w:p>
    <w:p>
      <w:pPr>
        <w:keepNext w:val="0"/>
        <w:keepLines w:val="0"/>
        <w:pageBreakBefore w:val="0"/>
        <w:widowControl w:val="0"/>
        <w:kinsoku/>
        <w:wordWrap/>
        <w:overflowPunct/>
        <w:topLinePunct w:val="0"/>
        <w:autoSpaceDE/>
        <w:autoSpaceDN/>
        <w:bidi w:val="0"/>
        <w:adjustRightInd/>
        <w:snapToGrid/>
        <w:spacing w:line="576" w:lineRule="exact"/>
        <w:ind w:left="0" w:leftChars="0" w:firstLine="0" w:firstLineChars="0"/>
        <w:textAlignment w:val="auto"/>
        <w:outlineLvl w:val="0"/>
        <w:rPr>
          <w:rStyle w:val="10"/>
          <w:rFonts w:hint="eastAsia"/>
          <w:color w:val="auto"/>
          <w:lang w:val="en-US" w:eastAsia="zh-CN"/>
        </w:rPr>
      </w:pPr>
      <w:r>
        <w:rPr>
          <w:rStyle w:val="10"/>
          <w:rFonts w:hint="eastAsia"/>
          <w:color w:val="auto"/>
          <w:lang w:val="en-US" w:eastAsia="zh-CN"/>
        </w:rPr>
        <w:t>表1-6转化推广潜力评价指标体系</w:t>
      </w:r>
    </w:p>
    <w:tbl>
      <w:tblPr>
        <w:tblStyle w:val="8"/>
        <w:tblpPr w:leftFromText="180" w:rightFromText="180" w:vertAnchor="text" w:horzAnchor="page" w:tblpXSpec="center" w:tblpY="312"/>
        <w:tblOverlap w:val="never"/>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1015"/>
        <w:gridCol w:w="1701"/>
        <w:gridCol w:w="8499"/>
        <w:gridCol w:w="2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shd w:val="clear" w:color="auto" w:fill="auto"/>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黑体" w:hAnsi="黑体" w:eastAsia="黑体" w:cs="黑体"/>
                <w:b/>
                <w:bCs/>
                <w:i w:val="0"/>
                <w:caps w:val="0"/>
                <w:color w:val="auto"/>
                <w:spacing w:val="0"/>
                <w:sz w:val="21"/>
                <w:szCs w:val="21"/>
                <w:highlight w:val="none"/>
                <w:shd w:val="clear" w:color="auto" w:fill="FFFFFF"/>
                <w:vertAlign w:val="baseline"/>
                <w:lang w:val="en-US" w:eastAsia="zh-CN"/>
              </w:rPr>
              <w:t>一级指标</w:t>
            </w:r>
          </w:p>
        </w:tc>
        <w:tc>
          <w:tcPr>
            <w:tcW w:w="1015" w:type="dxa"/>
            <w:shd w:val="clear" w:color="auto" w:fill="auto"/>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黑体" w:hAnsi="黑体" w:eastAsia="黑体" w:cs="黑体"/>
                <w:b/>
                <w:bCs/>
                <w:i w:val="0"/>
                <w:caps w:val="0"/>
                <w:color w:val="auto"/>
                <w:spacing w:val="0"/>
                <w:sz w:val="21"/>
                <w:szCs w:val="21"/>
                <w:highlight w:val="none"/>
                <w:shd w:val="clear" w:color="auto" w:fill="FFFFFF"/>
                <w:vertAlign w:val="baseline"/>
                <w:lang w:val="en-US" w:eastAsia="zh-CN"/>
              </w:rPr>
              <w:t>二级指标</w:t>
            </w:r>
          </w:p>
        </w:tc>
        <w:tc>
          <w:tcPr>
            <w:tcW w:w="1701" w:type="dxa"/>
            <w:shd w:val="clear" w:color="auto" w:fill="auto"/>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Fonts w:hint="eastAsia" w:ascii="仿宋" w:hAnsi="仿宋" w:eastAsia="仿宋" w:cs="仿宋"/>
                <w:color w:val="auto"/>
                <w:sz w:val="21"/>
                <w:szCs w:val="21"/>
                <w:highlight w:val="none"/>
                <w:shd w:val="clear" w:color="auto" w:fill="FFFFFF"/>
                <w:lang w:val="en-US" w:eastAsia="zh-CN"/>
              </w:rPr>
            </w:pPr>
            <w:r>
              <w:rPr>
                <w:rFonts w:hint="eastAsia" w:ascii="黑体" w:hAnsi="黑体" w:eastAsia="黑体" w:cs="黑体"/>
                <w:b/>
                <w:bCs/>
                <w:i w:val="0"/>
                <w:caps w:val="0"/>
                <w:color w:val="auto"/>
                <w:spacing w:val="0"/>
                <w:sz w:val="21"/>
                <w:szCs w:val="21"/>
                <w:highlight w:val="none"/>
                <w:shd w:val="clear" w:color="auto" w:fill="FFFFFF"/>
                <w:vertAlign w:val="baseline"/>
                <w:lang w:val="en-US" w:eastAsia="zh-CN"/>
              </w:rPr>
              <w:t>指标说明</w:t>
            </w:r>
          </w:p>
        </w:tc>
        <w:tc>
          <w:tcPr>
            <w:tcW w:w="8499" w:type="dxa"/>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Fonts w:hint="eastAsia" w:ascii="仿宋" w:hAnsi="仿宋" w:eastAsia="仿宋" w:cs="仿宋"/>
                <w:i w:val="0"/>
                <w:caps w:val="0"/>
                <w:color w:val="auto"/>
                <w:spacing w:val="0"/>
                <w:kern w:val="0"/>
                <w:sz w:val="21"/>
                <w:szCs w:val="21"/>
                <w:highlight w:val="none"/>
                <w:shd w:val="clear" w:color="auto" w:fill="FFFFFF"/>
                <w:vertAlign w:val="baseline"/>
                <w:lang w:val="en-US" w:eastAsia="zh-CN" w:bidi="ar"/>
              </w:rPr>
            </w:pPr>
            <w:r>
              <w:rPr>
                <w:rFonts w:hint="eastAsia" w:ascii="黑体" w:hAnsi="黑体" w:eastAsia="黑体" w:cs="黑体"/>
                <w:b/>
                <w:bCs/>
                <w:i w:val="0"/>
                <w:caps w:val="0"/>
                <w:color w:val="auto"/>
                <w:spacing w:val="0"/>
                <w:sz w:val="21"/>
                <w:szCs w:val="21"/>
                <w:highlight w:val="none"/>
                <w:shd w:val="clear" w:color="auto" w:fill="FFFFFF"/>
                <w:vertAlign w:val="baseline"/>
                <w:lang w:val="en-US" w:eastAsia="zh-CN"/>
              </w:rPr>
              <w:t>评价要点</w:t>
            </w:r>
          </w:p>
        </w:tc>
        <w:tc>
          <w:tcPr>
            <w:tcW w:w="2274" w:type="dxa"/>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Fonts w:hint="eastAsia" w:ascii="仿宋" w:hAnsi="仿宋" w:eastAsia="仿宋" w:cs="仿宋"/>
                <w:i w:val="0"/>
                <w:caps w:val="0"/>
                <w:color w:val="auto"/>
                <w:spacing w:val="0"/>
                <w:kern w:val="0"/>
                <w:sz w:val="21"/>
                <w:szCs w:val="21"/>
                <w:highlight w:val="none"/>
                <w:shd w:val="clear" w:color="auto" w:fill="FFFFFF"/>
                <w:vertAlign w:val="baseline"/>
                <w:lang w:val="en-US" w:eastAsia="zh-CN" w:bidi="ar"/>
              </w:rPr>
            </w:pPr>
            <w:r>
              <w:rPr>
                <w:rFonts w:hint="eastAsia" w:ascii="黑体" w:hAnsi="黑体" w:eastAsia="黑体" w:cs="黑体"/>
                <w:b/>
                <w:bCs/>
                <w:i w:val="0"/>
                <w:caps w:val="0"/>
                <w:color w:val="auto"/>
                <w:spacing w:val="0"/>
                <w:sz w:val="21"/>
                <w:szCs w:val="21"/>
                <w:highlight w:val="none"/>
                <w:shd w:val="clear" w:color="auto" w:fill="FFFFFF"/>
                <w:vertAlign w:val="baseline"/>
                <w:lang w:val="en-US" w:eastAsia="zh-CN"/>
              </w:rPr>
              <w:t>主要证明材料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 w:type="pct"/>
            <w:vMerge w:val="restart"/>
            <w:shd w:val="clear" w:color="auto" w:fill="auto"/>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Fonts w:hint="eastAsia" w:ascii="仿宋" w:hAnsi="仿宋" w:eastAsia="仿宋" w:cs="仿宋"/>
                <w:i w:val="0"/>
                <w:caps w:val="0"/>
                <w:color w:val="auto"/>
                <w:spacing w:val="0"/>
                <w:kern w:val="0"/>
                <w:sz w:val="21"/>
                <w:szCs w:val="21"/>
                <w:highlight w:val="none"/>
                <w:shd w:val="clear" w:color="auto" w:fill="FFFFFF"/>
                <w:vertAlign w:val="baseline"/>
                <w:lang w:val="en-US" w:eastAsia="zh-CN" w:bidi="ar"/>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F.转化推广潜力</w:t>
            </w:r>
          </w:p>
        </w:tc>
        <w:tc>
          <w:tcPr>
            <w:tcW w:w="358" w:type="pct"/>
            <w:shd w:val="clear" w:color="auto" w:fill="auto"/>
            <w:noWrap w:val="0"/>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Fonts w:hint="eastAsia" w:ascii="仿宋" w:hAnsi="仿宋" w:eastAsia="仿宋" w:cs="仿宋"/>
                <w:i w:val="0"/>
                <w:caps w:val="0"/>
                <w:color w:val="auto"/>
                <w:spacing w:val="0"/>
                <w:kern w:val="0"/>
                <w:sz w:val="21"/>
                <w:szCs w:val="21"/>
                <w:highlight w:val="none"/>
                <w:shd w:val="clear" w:color="auto" w:fill="FFFFFF"/>
                <w:vertAlign w:val="baseline"/>
                <w:lang w:val="en-US" w:eastAsia="zh-CN" w:bidi="ar"/>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F1.市场潜力</w:t>
            </w:r>
          </w:p>
        </w:tc>
        <w:tc>
          <w:tcPr>
            <w:tcW w:w="600" w:type="pct"/>
            <w:shd w:val="clear" w:color="auto" w:fill="auto"/>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eastAsia" w:ascii="仿宋" w:hAnsi="仿宋" w:eastAsia="仿宋" w:cs="仿宋"/>
                <w:i w:val="0"/>
                <w:caps w:val="0"/>
                <w:color w:val="auto"/>
                <w:spacing w:val="0"/>
                <w:kern w:val="0"/>
                <w:sz w:val="21"/>
                <w:szCs w:val="21"/>
                <w:highlight w:val="none"/>
                <w:shd w:val="clear" w:color="auto" w:fill="FFFFFF"/>
                <w:vertAlign w:val="baseline"/>
                <w:lang w:val="en-US" w:eastAsia="zh-CN" w:bidi="ar"/>
              </w:rPr>
            </w:pPr>
            <w:r>
              <w:rPr>
                <w:rFonts w:hint="eastAsia" w:ascii="仿宋" w:hAnsi="仿宋" w:eastAsia="仿宋" w:cs="仿宋"/>
                <w:color w:val="auto"/>
                <w:sz w:val="21"/>
                <w:szCs w:val="21"/>
                <w:highlight w:val="none"/>
                <w:shd w:val="clear" w:color="auto" w:fill="FFFFFF"/>
                <w:lang w:val="en-US" w:eastAsia="zh-CN"/>
              </w:rPr>
              <w:t>衡量在</w:t>
            </w:r>
            <w:r>
              <w:rPr>
                <w:rFonts w:hint="eastAsia" w:ascii="仿宋" w:hAnsi="仿宋" w:eastAsia="仿宋" w:cs="仿宋"/>
                <w:color w:val="auto"/>
                <w:sz w:val="21"/>
                <w:szCs w:val="21"/>
                <w:highlight w:val="none"/>
                <w:shd w:val="clear" w:color="auto" w:fill="FFFFFF"/>
              </w:rPr>
              <w:t>特定市场环境下</w:t>
            </w:r>
            <w:r>
              <w:rPr>
                <w:rFonts w:hint="eastAsia" w:ascii="仿宋" w:hAnsi="仿宋" w:eastAsia="仿宋" w:cs="仿宋"/>
                <w:color w:val="auto"/>
                <w:sz w:val="21"/>
                <w:szCs w:val="21"/>
                <w:highlight w:val="none"/>
                <w:shd w:val="clear" w:color="auto" w:fill="FFFFFF"/>
                <w:lang w:val="en-US" w:eastAsia="zh-CN"/>
              </w:rPr>
              <w:t>将科技成果</w:t>
            </w:r>
            <w:r>
              <w:rPr>
                <w:rFonts w:hint="eastAsia" w:ascii="仿宋" w:hAnsi="仿宋" w:eastAsia="仿宋" w:cs="仿宋"/>
                <w:color w:val="auto"/>
                <w:sz w:val="21"/>
                <w:szCs w:val="21"/>
                <w:highlight w:val="none"/>
                <w:shd w:val="clear" w:color="auto" w:fill="FFFFFF"/>
              </w:rPr>
              <w:t>推向市场所具备的条件</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转化后产品的竞争优势</w:t>
            </w:r>
            <w:r>
              <w:rPr>
                <w:rFonts w:hint="eastAsia" w:ascii="仿宋" w:hAnsi="仿宋" w:eastAsia="仿宋" w:cs="仿宋"/>
                <w:color w:val="auto"/>
                <w:sz w:val="21"/>
                <w:szCs w:val="21"/>
                <w:highlight w:val="none"/>
                <w:shd w:val="clear" w:color="auto" w:fill="FFFFFF"/>
                <w:lang w:eastAsia="zh-CN"/>
              </w:rPr>
              <w:t>。</w:t>
            </w:r>
          </w:p>
        </w:tc>
        <w:tc>
          <w:tcPr>
            <w:tcW w:w="2998" w:type="pct"/>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default" w:ascii="仿宋" w:hAnsi="仿宋" w:eastAsia="仿宋" w:cs="仿宋"/>
                <w:i w:val="0"/>
                <w:caps w:val="0"/>
                <w:color w:val="auto"/>
                <w:spacing w:val="0"/>
                <w:kern w:val="0"/>
                <w:sz w:val="21"/>
                <w:szCs w:val="21"/>
                <w:highlight w:val="none"/>
                <w:shd w:val="clear" w:color="auto" w:fill="FFFFFF"/>
                <w:vertAlign w:val="baseline"/>
                <w:lang w:val="en-US" w:eastAsia="zh-CN" w:bidi="ar"/>
              </w:rPr>
            </w:pPr>
            <w:r>
              <w:rPr>
                <w:rFonts w:hint="eastAsia" w:ascii="仿宋" w:hAnsi="仿宋" w:eastAsia="仿宋" w:cs="仿宋"/>
                <w:i w:val="0"/>
                <w:caps w:val="0"/>
                <w:color w:val="auto"/>
                <w:spacing w:val="0"/>
                <w:kern w:val="0"/>
                <w:sz w:val="21"/>
                <w:szCs w:val="21"/>
                <w:highlight w:val="none"/>
                <w:shd w:val="clear" w:color="auto" w:fill="FFFFFF"/>
                <w:vertAlign w:val="baseline"/>
                <w:lang w:val="en-US" w:eastAsia="zh-CN" w:bidi="ar"/>
              </w:rPr>
              <w:t>3级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61～100分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kern w:val="0"/>
                <w:sz w:val="21"/>
                <w:szCs w:val="21"/>
                <w:highlight w:val="none"/>
                <w:shd w:val="clear" w:color="auto" w:fill="FFFFFF"/>
                <w:vertAlign w:val="baseline"/>
                <w:lang w:val="en-US" w:eastAsia="zh-CN" w:bidi="ar"/>
              </w:rPr>
              <w:t>：成果相关产品对市场有覆盖效应，预期市场规模可覆盖国际市场，市场需求很大，市场占有率很高，成果规模化生产及市场推广前景很好。</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default" w:ascii="仿宋" w:hAnsi="仿宋" w:eastAsia="仿宋" w:cs="仿宋"/>
                <w:i w:val="0"/>
                <w:caps w:val="0"/>
                <w:color w:val="auto"/>
                <w:spacing w:val="0"/>
                <w:kern w:val="0"/>
                <w:sz w:val="21"/>
                <w:szCs w:val="21"/>
                <w:highlight w:val="none"/>
                <w:shd w:val="clear" w:color="auto" w:fill="FFFFFF"/>
                <w:vertAlign w:val="baseline"/>
                <w:lang w:val="en-US" w:eastAsia="zh-CN" w:bidi="ar"/>
              </w:rPr>
            </w:pPr>
            <w:r>
              <w:rPr>
                <w:rFonts w:hint="eastAsia" w:ascii="仿宋" w:hAnsi="仿宋" w:eastAsia="仿宋" w:cs="仿宋"/>
                <w:i w:val="0"/>
                <w:caps w:val="0"/>
                <w:color w:val="auto"/>
                <w:spacing w:val="0"/>
                <w:kern w:val="0"/>
                <w:sz w:val="21"/>
                <w:szCs w:val="21"/>
                <w:highlight w:val="none"/>
                <w:shd w:val="clear" w:color="auto" w:fill="FFFFFF"/>
                <w:vertAlign w:val="baseline"/>
                <w:lang w:val="en-US" w:eastAsia="zh-CN" w:bidi="ar"/>
              </w:rPr>
              <w:t>2级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31～60分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kern w:val="0"/>
                <w:sz w:val="21"/>
                <w:szCs w:val="21"/>
                <w:highlight w:val="none"/>
                <w:shd w:val="clear" w:color="auto" w:fill="FFFFFF"/>
                <w:vertAlign w:val="baseline"/>
                <w:lang w:val="en-US" w:eastAsia="zh-CN" w:bidi="ar"/>
              </w:rPr>
              <w:t>：成果相关产品有整体规模效应，预期市场规模可覆盖国内市场，市场需求较大，市场占有率较高，成果规模化生产及市场推广前景较好。</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kern w:val="0"/>
                <w:sz w:val="21"/>
                <w:szCs w:val="21"/>
                <w:highlight w:val="none"/>
                <w:shd w:val="clear" w:color="auto" w:fill="FFFFFF"/>
                <w:vertAlign w:val="baseline"/>
                <w:lang w:val="en-US" w:eastAsia="zh-CN" w:bidi="ar"/>
              </w:rPr>
              <w:t>1级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0～30分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kern w:val="0"/>
                <w:sz w:val="21"/>
                <w:szCs w:val="21"/>
                <w:highlight w:val="none"/>
                <w:shd w:val="clear" w:color="auto" w:fill="FFFFFF"/>
                <w:vertAlign w:val="baseline"/>
                <w:lang w:val="en-US" w:eastAsia="zh-CN" w:bidi="ar"/>
              </w:rPr>
              <w:t>：成果相关产品有部分规模效应，预期市场规模可覆盖西藏自治区市场，市场需求一般，市场占有率一般，成果规模化生产及市场推广前景一般。</w:t>
            </w:r>
          </w:p>
        </w:tc>
        <w:tc>
          <w:tcPr>
            <w:tcW w:w="802" w:type="pct"/>
            <w:noWrap w:val="0"/>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default" w:ascii="仿宋" w:hAnsi="仿宋" w:eastAsia="仿宋" w:cs="仿宋"/>
                <w:i w:val="0"/>
                <w:caps w:val="0"/>
                <w:color w:val="auto"/>
                <w:spacing w:val="0"/>
                <w:kern w:val="0"/>
                <w:sz w:val="21"/>
                <w:szCs w:val="21"/>
                <w:highlight w:val="none"/>
                <w:shd w:val="clear" w:color="auto" w:fill="FFFFFF"/>
                <w:vertAlign w:val="baseline"/>
                <w:lang w:val="en-US" w:eastAsia="zh-CN" w:bidi="ar"/>
              </w:rPr>
            </w:pPr>
            <w:r>
              <w:rPr>
                <w:rFonts w:hint="eastAsia" w:ascii="仿宋" w:hAnsi="仿宋" w:eastAsia="仿宋" w:cs="仿宋"/>
                <w:i w:val="0"/>
                <w:caps w:val="0"/>
                <w:color w:val="auto"/>
                <w:spacing w:val="0"/>
                <w:kern w:val="0"/>
                <w:sz w:val="21"/>
                <w:szCs w:val="21"/>
                <w:highlight w:val="none"/>
                <w:shd w:val="clear" w:color="auto" w:fill="FFFFFF"/>
                <w:vertAlign w:val="baseline"/>
                <w:lang w:val="en-US" w:eastAsia="zh-CN" w:bidi="ar"/>
              </w:rPr>
              <w:t>论文、行业分析报告。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 w:type="pct"/>
            <w:vMerge w:val="continue"/>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0" w:firstLineChars="0"/>
              <w:jc w:val="center"/>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p>
        </w:tc>
        <w:tc>
          <w:tcPr>
            <w:tcW w:w="358" w:type="pct"/>
            <w:shd w:val="clear" w:color="auto" w:fill="auto"/>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Fonts w:hint="eastAsia" w:ascii="仿宋" w:hAnsi="仿宋" w:eastAsia="仿宋" w:cs="仿宋"/>
                <w:i w:val="0"/>
                <w:caps w:val="0"/>
                <w:color w:val="auto"/>
                <w:spacing w:val="0"/>
                <w:kern w:val="0"/>
                <w:sz w:val="21"/>
                <w:szCs w:val="21"/>
                <w:highlight w:val="none"/>
                <w:shd w:val="clear" w:color="auto" w:fill="FFFFFF"/>
                <w:vertAlign w:val="baseline"/>
                <w:lang w:val="en-US" w:eastAsia="zh-CN" w:bidi="ar"/>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F2.持续开发潜力</w:t>
            </w:r>
          </w:p>
        </w:tc>
        <w:tc>
          <w:tcPr>
            <w:tcW w:w="600" w:type="pct"/>
            <w:shd w:val="clear" w:color="auto" w:fill="auto"/>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color w:val="auto"/>
                <w:sz w:val="21"/>
                <w:szCs w:val="21"/>
                <w:highlight w:val="none"/>
                <w:shd w:val="clear" w:color="auto" w:fill="FFFFFF"/>
                <w:lang w:val="en-US" w:eastAsia="zh-CN"/>
              </w:rPr>
              <w:t>衡量科研团队</w:t>
            </w:r>
            <w:r>
              <w:rPr>
                <w:rFonts w:hint="eastAsia" w:ascii="仿宋" w:hAnsi="仿宋" w:eastAsia="仿宋" w:cs="仿宋"/>
                <w:color w:val="auto"/>
                <w:sz w:val="21"/>
                <w:szCs w:val="21"/>
                <w:highlight w:val="none"/>
                <w:shd w:val="clear" w:color="auto" w:fill="FFFFFF"/>
              </w:rPr>
              <w:t>进一步研发和改进</w:t>
            </w:r>
            <w:r>
              <w:rPr>
                <w:rFonts w:hint="eastAsia" w:ascii="仿宋" w:hAnsi="仿宋" w:eastAsia="仿宋" w:cs="仿宋"/>
                <w:color w:val="auto"/>
                <w:sz w:val="21"/>
                <w:szCs w:val="21"/>
                <w:highlight w:val="none"/>
                <w:shd w:val="clear" w:color="auto" w:fill="FFFFFF"/>
                <w:lang w:val="en-US" w:eastAsia="zh-CN"/>
              </w:rPr>
              <w:t>成果</w:t>
            </w:r>
            <w:r>
              <w:rPr>
                <w:rFonts w:hint="eastAsia" w:ascii="仿宋" w:hAnsi="仿宋" w:eastAsia="仿宋" w:cs="仿宋"/>
                <w:color w:val="auto"/>
                <w:sz w:val="21"/>
                <w:szCs w:val="21"/>
                <w:highlight w:val="none"/>
                <w:shd w:val="clear" w:color="auto" w:fill="FFFFFF"/>
              </w:rPr>
              <w:t>所具备的条件</w:t>
            </w:r>
            <w:r>
              <w:rPr>
                <w:rFonts w:hint="eastAsia" w:ascii="仿宋" w:hAnsi="仿宋" w:eastAsia="仿宋" w:cs="仿宋"/>
                <w:color w:val="auto"/>
                <w:sz w:val="21"/>
                <w:szCs w:val="21"/>
                <w:highlight w:val="none"/>
                <w:shd w:val="clear" w:color="auto" w:fill="FFFFFF"/>
                <w:lang w:eastAsia="zh-CN"/>
              </w:rPr>
              <w:t>。</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p>
        </w:tc>
        <w:tc>
          <w:tcPr>
            <w:tcW w:w="2998" w:type="pct"/>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3级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61～100分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：技术团队成果转化的积极性、开发信心显著，学术水平和能力获得同行认可程度很高，未来发展规划可行性和可操作性很高，成果转化经验和资源整合能力很强。</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2级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31～60分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：技术团队成果转化的积极性、开发信心较高，学术水平和能力获得同行认可程度较高，未来发展规划可行性和可操作性较高，成果转化经验和资源整合能力较强。</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1级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0～30分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：技术团队成果转化的积极性、开发信心一般，学术水平和能力获得同行认可程度一般，未来发展规划可行性和可操作性一般，成果转化经验和资源整合能力一般。</w:t>
            </w:r>
          </w:p>
        </w:tc>
        <w:tc>
          <w:tcPr>
            <w:tcW w:w="802" w:type="pct"/>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default"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学历证书、职称证书、固定资产清单及证明、合作协议、审计报告。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8" w:type="pct"/>
            <w:vMerge w:val="continue"/>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0" w:firstLineChars="0"/>
              <w:jc w:val="center"/>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p>
        </w:tc>
        <w:tc>
          <w:tcPr>
            <w:tcW w:w="358" w:type="pct"/>
            <w:shd w:val="clear" w:color="auto" w:fill="auto"/>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center"/>
              <w:textAlignment w:val="auto"/>
              <w:rPr>
                <w:rFonts w:hint="default"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F3.产业支撑潜力</w:t>
            </w:r>
          </w:p>
        </w:tc>
        <w:tc>
          <w:tcPr>
            <w:tcW w:w="600" w:type="pct"/>
            <w:shd w:val="clear" w:color="auto" w:fill="auto"/>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color w:val="auto"/>
                <w:sz w:val="21"/>
                <w:szCs w:val="21"/>
                <w:highlight w:val="none"/>
                <w:shd w:val="clear" w:color="auto" w:fill="FFFFFF"/>
                <w:lang w:val="en-US" w:eastAsia="zh-CN"/>
              </w:rPr>
              <w:t>衡量</w:t>
            </w:r>
            <w:r>
              <w:rPr>
                <w:rFonts w:hint="eastAsia" w:ascii="仿宋" w:hAnsi="仿宋" w:eastAsia="仿宋" w:cs="仿宋"/>
                <w:color w:val="auto"/>
                <w:sz w:val="21"/>
                <w:szCs w:val="21"/>
                <w:highlight w:val="none"/>
                <w:shd w:val="clear" w:color="auto" w:fill="FFFFFF"/>
              </w:rPr>
              <w:t>成果</w:t>
            </w:r>
            <w:r>
              <w:rPr>
                <w:rFonts w:hint="eastAsia" w:ascii="仿宋" w:hAnsi="仿宋" w:eastAsia="仿宋" w:cs="仿宋"/>
                <w:color w:val="auto"/>
                <w:sz w:val="21"/>
                <w:szCs w:val="21"/>
                <w:highlight w:val="none"/>
                <w:shd w:val="clear" w:color="auto" w:fill="FFFFFF"/>
                <w:lang w:val="en-US" w:eastAsia="zh-CN"/>
              </w:rPr>
              <w:t>推广应用</w:t>
            </w:r>
            <w:r>
              <w:rPr>
                <w:rFonts w:hint="eastAsia" w:ascii="仿宋" w:hAnsi="仿宋" w:eastAsia="仿宋" w:cs="仿宋"/>
                <w:color w:val="auto"/>
                <w:sz w:val="21"/>
                <w:szCs w:val="21"/>
                <w:highlight w:val="none"/>
                <w:shd w:val="clear" w:color="auto" w:fill="FFFFFF"/>
              </w:rPr>
              <w:t>对</w:t>
            </w:r>
            <w:r>
              <w:rPr>
                <w:rFonts w:hint="eastAsia" w:ascii="仿宋" w:hAnsi="仿宋" w:eastAsia="仿宋" w:cs="仿宋"/>
                <w:color w:val="auto"/>
                <w:sz w:val="21"/>
                <w:szCs w:val="21"/>
                <w:highlight w:val="none"/>
                <w:shd w:val="clear" w:color="auto" w:fill="FFFFFF"/>
                <w:lang w:val="en-US" w:eastAsia="zh-CN"/>
              </w:rPr>
              <w:t>促进技术升级、推进</w:t>
            </w:r>
            <w:r>
              <w:rPr>
                <w:rFonts w:hint="eastAsia" w:ascii="仿宋" w:hAnsi="仿宋" w:eastAsia="仿宋" w:cs="仿宋"/>
                <w:color w:val="auto"/>
                <w:sz w:val="21"/>
                <w:szCs w:val="21"/>
                <w:highlight w:val="none"/>
                <w:shd w:val="clear" w:color="auto" w:fill="FFFFFF"/>
              </w:rPr>
              <w:t>产业发展</w:t>
            </w:r>
            <w:r>
              <w:rPr>
                <w:rFonts w:hint="eastAsia" w:ascii="仿宋" w:hAnsi="仿宋" w:eastAsia="仿宋" w:cs="仿宋"/>
                <w:color w:val="auto"/>
                <w:sz w:val="21"/>
                <w:szCs w:val="21"/>
                <w:highlight w:val="none"/>
                <w:shd w:val="clear" w:color="auto" w:fill="FFFFFF"/>
                <w:lang w:val="en-US" w:eastAsia="zh-CN"/>
              </w:rPr>
              <w:t>和</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产品更新换代等方面</w:t>
            </w:r>
            <w:r>
              <w:rPr>
                <w:rFonts w:hint="eastAsia" w:ascii="仿宋" w:hAnsi="仿宋" w:eastAsia="仿宋" w:cs="仿宋"/>
                <w:color w:val="auto"/>
                <w:sz w:val="21"/>
                <w:szCs w:val="21"/>
                <w:highlight w:val="none"/>
                <w:shd w:val="clear" w:color="auto" w:fill="FFFFFF"/>
              </w:rPr>
              <w:t>的带动作用</w:t>
            </w:r>
            <w:r>
              <w:rPr>
                <w:rFonts w:hint="eastAsia" w:ascii="仿宋" w:hAnsi="仿宋" w:eastAsia="仿宋" w:cs="仿宋"/>
                <w:color w:val="auto"/>
                <w:sz w:val="21"/>
                <w:szCs w:val="21"/>
                <w:highlight w:val="none"/>
                <w:shd w:val="clear" w:color="auto" w:fill="FFFFFF"/>
                <w:lang w:eastAsia="zh-CN"/>
              </w:rPr>
              <w:t>。</w:t>
            </w:r>
          </w:p>
        </w:tc>
        <w:tc>
          <w:tcPr>
            <w:tcW w:w="2998" w:type="pct"/>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3级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61～100分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：成果推广应用对在促进技术升级，推动相关产业发展和产品更新换代等方面的潜力很大。</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2级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31～60分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：成果推广应用对在促进技术升级，推动相关产业发展和产品更新换代等方面的潜力较大。</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sz w:val="21"/>
                <w:szCs w:val="21"/>
                <w:highlight w:val="none"/>
                <w:shd w:val="clear" w:color="auto" w:fill="FFFFFF"/>
                <w:vertAlign w:val="baseline"/>
                <w:lang w:val="en-US" w:eastAsia="zh-CN"/>
              </w:rPr>
              <w:t>1级</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color w:val="auto"/>
                <w:sz w:val="21"/>
                <w:szCs w:val="21"/>
                <w:highlight w:val="none"/>
                <w:shd w:val="clear" w:color="auto" w:fill="FFFFFF"/>
                <w:lang w:val="en-US" w:eastAsia="zh-CN"/>
              </w:rPr>
              <w:t>0～30分</w:t>
            </w:r>
            <w:r>
              <w:rPr>
                <w:rFonts w:hint="eastAsia" w:ascii="仿宋" w:hAnsi="仿宋" w:eastAsia="仿宋" w:cs="仿宋"/>
                <w:color w:val="auto"/>
                <w:sz w:val="21"/>
                <w:szCs w:val="21"/>
                <w:highlight w:val="none"/>
                <w:shd w:val="clear" w:color="auto" w:fill="FFFFFF"/>
                <w:lang w:eastAsia="zh-CN"/>
              </w:rPr>
              <w:t>）</w:t>
            </w:r>
            <w:r>
              <w:rPr>
                <w:rFonts w:hint="eastAsia" w:ascii="仿宋" w:hAnsi="仿宋" w:eastAsia="仿宋" w:cs="仿宋"/>
                <w:i w:val="0"/>
                <w:caps w:val="0"/>
                <w:color w:val="auto"/>
                <w:spacing w:val="0"/>
                <w:sz w:val="21"/>
                <w:szCs w:val="21"/>
                <w:highlight w:val="none"/>
                <w:shd w:val="clear" w:color="auto" w:fill="FFFFFF"/>
                <w:vertAlign w:val="baseline"/>
                <w:lang w:val="en-US" w:eastAsia="zh-CN"/>
              </w:rPr>
              <w:t>：成果推广应用对在促进技术升级，推动相关产业发展和产品更新换代等方面的潜力一般。</w:t>
            </w:r>
          </w:p>
        </w:tc>
        <w:tc>
          <w:tcPr>
            <w:tcW w:w="802" w:type="pct"/>
            <w:vAlign w:val="center"/>
          </w:tcPr>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Chars="0" w:right="0" w:rightChars="0" w:firstLine="0" w:firstLineChars="0"/>
              <w:jc w:val="left"/>
              <w:textAlignment w:val="auto"/>
              <w:rPr>
                <w:rFonts w:hint="eastAsia" w:ascii="仿宋" w:hAnsi="仿宋" w:eastAsia="仿宋" w:cs="仿宋"/>
                <w:i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caps w:val="0"/>
                <w:color w:val="auto"/>
                <w:spacing w:val="0"/>
                <w:kern w:val="0"/>
                <w:sz w:val="21"/>
                <w:szCs w:val="21"/>
                <w:highlight w:val="none"/>
                <w:shd w:val="clear" w:color="auto" w:fill="FFFFFF"/>
                <w:vertAlign w:val="baseline"/>
                <w:lang w:val="en-US" w:eastAsia="zh-CN" w:bidi="ar"/>
              </w:rPr>
              <w:t>论文、行业分析报告。</w:t>
            </w:r>
          </w:p>
        </w:tc>
      </w:tr>
    </w:tbl>
    <w:p>
      <w:pPr>
        <w:ind w:left="0" w:leftChars="0" w:firstLine="0" w:firstLineChars="0"/>
        <w:jc w:val="center"/>
        <w:rPr>
          <w:rFonts w:hint="default"/>
          <w:lang w:val="en-US" w:eastAsia="zh-CN"/>
        </w:rPr>
      </w:pPr>
    </w:p>
    <w:sectPr>
      <w:headerReference r:id="rId5" w:type="default"/>
      <w:footerReference r:id="rId6" w:type="default"/>
      <w:pgSz w:w="16838" w:h="11906" w:orient="landscape"/>
      <w:pgMar w:top="1236" w:right="1440" w:bottom="1236" w:left="144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altName w:val="方正仿宋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bookmarkStart w:id="2" w:name="_GoBack"/>
    <w:bookmarkEnd w:id="2"/>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第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- 1 -</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页 共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NUMPAGES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9</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页</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4"/>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第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- 1 -</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页 共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NUMPAGES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9</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AD6D5C"/>
    <w:rsid w:val="003D1991"/>
    <w:rsid w:val="009E70F5"/>
    <w:rsid w:val="037E6D6A"/>
    <w:rsid w:val="04425A7A"/>
    <w:rsid w:val="04B97124"/>
    <w:rsid w:val="05BB56A4"/>
    <w:rsid w:val="07131EBF"/>
    <w:rsid w:val="07591FC8"/>
    <w:rsid w:val="085A5FF7"/>
    <w:rsid w:val="08A05B3A"/>
    <w:rsid w:val="08C416C3"/>
    <w:rsid w:val="08F024B8"/>
    <w:rsid w:val="09734E97"/>
    <w:rsid w:val="0B13248D"/>
    <w:rsid w:val="0BA56CBF"/>
    <w:rsid w:val="0D1D0DA0"/>
    <w:rsid w:val="0D662CB4"/>
    <w:rsid w:val="0D8A384C"/>
    <w:rsid w:val="0D933D59"/>
    <w:rsid w:val="0D975219"/>
    <w:rsid w:val="0DAD6D5C"/>
    <w:rsid w:val="0E4017EB"/>
    <w:rsid w:val="0F29520D"/>
    <w:rsid w:val="10074F78"/>
    <w:rsid w:val="110D2C89"/>
    <w:rsid w:val="115206FC"/>
    <w:rsid w:val="11DA10D8"/>
    <w:rsid w:val="12062DE6"/>
    <w:rsid w:val="120E10B1"/>
    <w:rsid w:val="122E65E4"/>
    <w:rsid w:val="123D4508"/>
    <w:rsid w:val="124318AA"/>
    <w:rsid w:val="14281E1A"/>
    <w:rsid w:val="142B1A76"/>
    <w:rsid w:val="149E4997"/>
    <w:rsid w:val="14FE5F5C"/>
    <w:rsid w:val="18DC65B5"/>
    <w:rsid w:val="190A1374"/>
    <w:rsid w:val="1AF478D8"/>
    <w:rsid w:val="1B424B16"/>
    <w:rsid w:val="1CB02232"/>
    <w:rsid w:val="1D4E5704"/>
    <w:rsid w:val="1F7D13AE"/>
    <w:rsid w:val="20303DF7"/>
    <w:rsid w:val="20D752E8"/>
    <w:rsid w:val="2198641B"/>
    <w:rsid w:val="21A05FB2"/>
    <w:rsid w:val="226518BC"/>
    <w:rsid w:val="226A2E83"/>
    <w:rsid w:val="227301CD"/>
    <w:rsid w:val="22B34A91"/>
    <w:rsid w:val="233A379B"/>
    <w:rsid w:val="23AB7DA8"/>
    <w:rsid w:val="25F34F1D"/>
    <w:rsid w:val="27D97F6F"/>
    <w:rsid w:val="283817F6"/>
    <w:rsid w:val="289B1FE8"/>
    <w:rsid w:val="2A3E7210"/>
    <w:rsid w:val="2AE5579D"/>
    <w:rsid w:val="2B881D3D"/>
    <w:rsid w:val="2C3C5AE6"/>
    <w:rsid w:val="2C6000CF"/>
    <w:rsid w:val="2C994A91"/>
    <w:rsid w:val="2E9B1FCE"/>
    <w:rsid w:val="2EBB1609"/>
    <w:rsid w:val="303D06B3"/>
    <w:rsid w:val="31052B89"/>
    <w:rsid w:val="31ED25DC"/>
    <w:rsid w:val="33743B62"/>
    <w:rsid w:val="33E00E15"/>
    <w:rsid w:val="35597996"/>
    <w:rsid w:val="369C5114"/>
    <w:rsid w:val="37356353"/>
    <w:rsid w:val="37F064F0"/>
    <w:rsid w:val="386049C7"/>
    <w:rsid w:val="390D65DD"/>
    <w:rsid w:val="3A686D23"/>
    <w:rsid w:val="3A6D3797"/>
    <w:rsid w:val="3ACF09FE"/>
    <w:rsid w:val="3B914B85"/>
    <w:rsid w:val="3BCA508D"/>
    <w:rsid w:val="3BD848BC"/>
    <w:rsid w:val="3DB64929"/>
    <w:rsid w:val="3DEE5E26"/>
    <w:rsid w:val="3E0335F3"/>
    <w:rsid w:val="3F5E6431"/>
    <w:rsid w:val="3F9D584C"/>
    <w:rsid w:val="3FFC2B22"/>
    <w:rsid w:val="405F088D"/>
    <w:rsid w:val="41145705"/>
    <w:rsid w:val="41A57A6F"/>
    <w:rsid w:val="41FA22F4"/>
    <w:rsid w:val="423B7924"/>
    <w:rsid w:val="44210097"/>
    <w:rsid w:val="44E343CF"/>
    <w:rsid w:val="455951FB"/>
    <w:rsid w:val="45AD6A5F"/>
    <w:rsid w:val="47FD1846"/>
    <w:rsid w:val="481A2049"/>
    <w:rsid w:val="481D7ECC"/>
    <w:rsid w:val="48953BB8"/>
    <w:rsid w:val="48FC3F85"/>
    <w:rsid w:val="4B905EAF"/>
    <w:rsid w:val="4BC82845"/>
    <w:rsid w:val="4CE94A57"/>
    <w:rsid w:val="4E914327"/>
    <w:rsid w:val="4FA17635"/>
    <w:rsid w:val="502A41CD"/>
    <w:rsid w:val="51234079"/>
    <w:rsid w:val="51BF3687"/>
    <w:rsid w:val="52C65B5D"/>
    <w:rsid w:val="53412DA7"/>
    <w:rsid w:val="541C1980"/>
    <w:rsid w:val="55347222"/>
    <w:rsid w:val="55436A98"/>
    <w:rsid w:val="55CC2F32"/>
    <w:rsid w:val="560E70A6"/>
    <w:rsid w:val="5661390B"/>
    <w:rsid w:val="567D5FDA"/>
    <w:rsid w:val="58BC54DF"/>
    <w:rsid w:val="59C46B26"/>
    <w:rsid w:val="59C53C03"/>
    <w:rsid w:val="5A0E3B19"/>
    <w:rsid w:val="5AFB168B"/>
    <w:rsid w:val="5E331DF7"/>
    <w:rsid w:val="5E6B2E2D"/>
    <w:rsid w:val="5F342BF5"/>
    <w:rsid w:val="5FAB3BB8"/>
    <w:rsid w:val="605A4D62"/>
    <w:rsid w:val="609D7126"/>
    <w:rsid w:val="60AF2E24"/>
    <w:rsid w:val="60D22A72"/>
    <w:rsid w:val="62902C2B"/>
    <w:rsid w:val="62DF6FAC"/>
    <w:rsid w:val="65812C52"/>
    <w:rsid w:val="65FE2039"/>
    <w:rsid w:val="6683378F"/>
    <w:rsid w:val="67B055D7"/>
    <w:rsid w:val="67E33557"/>
    <w:rsid w:val="694A0B5C"/>
    <w:rsid w:val="697C1E63"/>
    <w:rsid w:val="699E2A87"/>
    <w:rsid w:val="69B85DB1"/>
    <w:rsid w:val="6A254E05"/>
    <w:rsid w:val="6BEE37AA"/>
    <w:rsid w:val="6C5C6966"/>
    <w:rsid w:val="6CB7427B"/>
    <w:rsid w:val="6CFC695A"/>
    <w:rsid w:val="6D841E4C"/>
    <w:rsid w:val="6F8306AD"/>
    <w:rsid w:val="6FFD46B9"/>
    <w:rsid w:val="72190E55"/>
    <w:rsid w:val="7319146E"/>
    <w:rsid w:val="73437B19"/>
    <w:rsid w:val="73DE1EFC"/>
    <w:rsid w:val="73E8508F"/>
    <w:rsid w:val="742A27DA"/>
    <w:rsid w:val="75A362DB"/>
    <w:rsid w:val="75C413BD"/>
    <w:rsid w:val="760360A4"/>
    <w:rsid w:val="768038E0"/>
    <w:rsid w:val="76FD2AF3"/>
    <w:rsid w:val="77452CD9"/>
    <w:rsid w:val="7845090E"/>
    <w:rsid w:val="78832A30"/>
    <w:rsid w:val="78B7039E"/>
    <w:rsid w:val="78EC66B9"/>
    <w:rsid w:val="79C95279"/>
    <w:rsid w:val="7ABD62F0"/>
    <w:rsid w:val="7B2A7B4E"/>
    <w:rsid w:val="7BA21EBB"/>
    <w:rsid w:val="7BBF557F"/>
    <w:rsid w:val="7BFB2963"/>
    <w:rsid w:val="7C6333F8"/>
    <w:rsid w:val="7E494870"/>
    <w:rsid w:val="7F3D6702"/>
    <w:rsid w:val="7FB14DC3"/>
    <w:rsid w:val="9F5B3DD6"/>
    <w:rsid w:val="F7BA2338"/>
    <w:rsid w:val="F7FE870E"/>
    <w:rsid w:val="FAEBF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76" w:lineRule="exact"/>
      <w:ind w:firstLine="800" w:firstLineChars="200"/>
      <w:jc w:val="both"/>
    </w:pPr>
    <w:rPr>
      <w:rFonts w:ascii="Times New Roman" w:hAnsi="Times New Roman" w:eastAsia="方正仿宋_GBK" w:cs="Times New Roman"/>
      <w:kern w:val="2"/>
      <w:sz w:val="32"/>
      <w:szCs w:val="24"/>
      <w:lang w:val="en-US" w:eastAsia="zh-CN" w:bidi="ar-SA"/>
    </w:rPr>
  </w:style>
  <w:style w:type="paragraph" w:styleId="2">
    <w:name w:val="heading 1"/>
    <w:basedOn w:val="1"/>
    <w:next w:val="1"/>
    <w:link w:val="10"/>
    <w:qFormat/>
    <w:uiPriority w:val="0"/>
    <w:pPr>
      <w:keepNext/>
      <w:keepLines/>
      <w:spacing w:beforeLines="0" w:beforeAutospacing="0" w:afterLines="0" w:afterAutospacing="0" w:line="576" w:lineRule="exact"/>
      <w:outlineLvl w:val="0"/>
    </w:pPr>
    <w:rPr>
      <w:rFonts w:eastAsia="方正黑体_GBK"/>
      <w:kern w:val="4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rPr>
      <w:rFonts w:ascii="宋体" w:hAnsi="宋体" w:eastAsia="宋体" w:cs="宋体"/>
      <w:sz w:val="21"/>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标题 1 Char"/>
    <w:link w:val="2"/>
    <w:qFormat/>
    <w:uiPriority w:val="0"/>
    <w:rPr>
      <w:rFonts w:eastAsia="方正黑体_GBK"/>
      <w:kern w:val="4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2558</Words>
  <Characters>2668</Characters>
  <Lines>0</Lines>
  <Paragraphs>0</Paragraphs>
  <TotalTime>9</TotalTime>
  <ScaleCrop>false</ScaleCrop>
  <LinksUpToDate>false</LinksUpToDate>
  <CharactersWithSpaces>2691</CharactersWithSpaces>
  <Application>WPS Office_11.8.2.9695_F1E327BC-269C-435d-A152-05C5408002CA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2025-07-18T00:19:00Z</dcterms:created>
  <dc:creator>╰☆断点☆╮</dc:creator>
  <cp:lastModifiedBy>user</cp:lastModifiedBy>
  <cp:lastPrinted>2025-09-18T11:32:25Z</cp:lastPrinted>
  <dcterms:modified xsi:type="dcterms:W3CDTF">2025-09-18T11:33:35Z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2052-11.8.2.9695</vt:lpwstr>
  </property>
  <property fmtid="{D5CDD505-2E9C-101B-9397-08002B2CF9AE}" pid="3" name="ICV">
    <vt:lpwstr>6B0F24AF782340FC9248CAFD47454E66_13</vt:lpwstr>
  </property>
  <property fmtid="{D5CDD505-2E9C-101B-9397-08002B2CF9AE}" pid="4" name="KSOTemplateDocerSaveRecord">
    <vt:lpwstr>eyJoZGlkIjoiMzZjYjRiZDQzOTMwNDU1MDAwMGEzZmIwZGNjYWYzMzUiLCJ1c2VySWQiOiI0NDQwOTA0NzkifQ==</vt:lpwstr>
  </property>
</Properties>
</file>